
<file path=[Content_Types].xml><?xml version="1.0" encoding="utf-8"?>
<Types xmlns="http://schemas.openxmlformats.org/package/2006/content-types">
  <Default Extension="xml" ContentType="application/vnd.openxmlformats-officedocument.wordprocessingml.document.main+xml"/>
  <Default Extension="png" ContentType="image/png"/>
  <Default Extension="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header1.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Types>
</file>

<file path=_rels/.rels>&#65279;<?xml version="1.0" encoding="utf-8"?><Relationships xmlns="http://schemas.openxmlformats.org/package/2006/relationships"><Relationship Type="http://schemas.openxmlformats.org/officeDocument/2006/relationships/officeDocument" Target="/word/document.xml" Id="R64f295b645ed4947" /></Relationships>
</file>

<file path=word/document.xml><?xml version="1.0" encoding="utf-8"?>
<w:document xmlns:a="http://schemas.openxmlformats.org/drawingml/2006/main" xmlns:pic="http://schemas.openxmlformats.org/drawingml/2006/picture" xmlns:r="http://schemas.openxmlformats.org/officeDocument/2006/relationships" xmlns:w="http://schemas.openxmlformats.org/wordprocessingml/2006/main" xmlns:wp="http://schemas.openxmlformats.org/drawingml/2006/wordprocessingDrawing">
  <w:body>
    <w:p>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7560000" cy="10692000"/>
            <wp:effectExtent l="0" t="0" r="0" b="0"/>
            <wp:wrapNone/>
            <wp:docPr id="1" name="CoverBackground"/>
            <wp:cNvGraphicFramePr>
              <a:graphicFrameLocks noChangeAspect="1"/>
            </wp:cNvGraphicFramePr>
            <a:graphic>
              <a:graphicData uri="http://schemas.openxmlformats.org/drawingml/2006/picture">
                <pic:pic>
                  <pic:nvPicPr>
                    <pic:cNvPr id="0" name="CoverBackground.png"/>
                    <pic:cNvPicPr/>
                  </pic:nvPicPr>
                  <pic:blipFill>
                    <a:blip r:embed="Rbe3891aae0184a1b"/>
                    <a:stretch>
                      <a:fillRect/>
                    </a:stretch>
                  </pic:blipFill>
                  <pic:spPr>
                    <a:xfrm>
                      <a:off x="0" y="0"/>
                      <a:ext cx="7560000" cy="10692000"/>
                    </a:xfrm>
                    <a:prstGeom prst="rect"/>
                  </pic:spPr>
                </pic:pic>
              </a:graphicData>
            </a:graphic>
          </wp:anchor>
        </w:drawing>
      </w:r>
    </w:p>
    <w:p>
      <w:pPr>
        <w:spacing w:before="5000"/>
      </w:pPr>
      <w:r/>
    </w:p>
    <w:p>
      <w:pPr>
        <w:spacing w:after="100"/>
        <w:ind w:left="1200" w:right="1200"/>
        <w:jc w:val="left"/>
      </w:pPr>
      <w:r>
        <w:rPr>
          <w:b/>
          <w:color w:val="D4AF37"/>
          <w:sz w:val="96"/>
        </w:rPr>
        <w:t>LifeCoin</w:t>
      </w:r>
    </w:p>
    <w:p>
      <w:pPr>
        <w:spacing w:after="400"/>
        <w:ind w:left="1200" w:right="1200"/>
        <w:jc w:val="left"/>
      </w:pPr>
      <w:r>
        <w:rPr>
          <w:color w:val="FFFFFF"/>
          <w:sz w:val="40"/>
        </w:rPr>
        <w:t>(LFC)</w:t>
      </w:r>
    </w:p>
    <w:p>
      <w:pPr>
        <w:spacing w:after="2500"/>
        <w:ind w:left="1200" w:right="1200"/>
        <w:jc w:val="left"/>
      </w:pPr>
      <w:r>
        <w:rPr>
          <w:i/>
          <w:color w:val="00D4AA"/>
          <w:sz w:val="28"/>
        </w:rPr>
        <w:t>Money Truly Belongs to the People</w:t>
      </w:r>
    </w:p>
    <w:p>
      <w:pPr>
        <w:spacing w:after="80"/>
        <w:ind w:left="1200"/>
        <w:jc w:val="left"/>
      </w:pPr>
      <w:r>
        <w:rPr>
          <w:color w:val="AAAAAA"/>
          <w:sz w:val="22"/>
        </w:rPr>
        <w:t>Official Whitepaper</w:t>
      </w:r>
    </w:p>
    <w:p>
      <w:pPr>
        <w:ind w:left="1200"/>
        <w:jc w:val="left"/>
      </w:pPr>
      <w:r>
        <w:rPr>
          <w:color w:val="888888"/>
          <w:sz w:val="20"/>
        </w:rPr>
        <w:t>Version 1.0 | March 2026</w:t>
      </w:r>
    </w:p>
    <w:p>
      <w:pPr>
        <w:sectPr>
          <w:type w:val="nextPage"/>
          <w:pgSz w:w="11906" w:h="16838"/>
          <w:pgMar w:top="0" w:right="0" w:bottom="0" w:left="0" w:header="0" w:footer="0"/>
        </w:sectPr>
      </w:pPr>
    </w:p>
    <w:p>
      <w:pPr>
        <w:spacing w:before="600" w:after="200"/>
      </w:pPr>
      <w:r>
        <w:rPr>
          <w:b/>
          <w:color w:val="D4AF37"/>
          <w:sz w:val="44"/>
        </w:rPr>
        <w:t>Table of Contents</w:t>
      </w:r>
    </w:p>
    <w:p>
      <w:pPr>
        <w:spacing w:after="400"/>
      </w:pPr>
      <w:r>
        <w:rPr>
          <w:color w:val="5C6B7F"/>
          <w:sz w:val="18"/>
        </w:rPr>
        <w:t>Right-click the TOC and select "Update Field" to refresh page numbers</w:t>
      </w:r>
    </w:p>
    <w:p>
      <w:r>
        <w:fldChar w:fldCharType="begin"/>
      </w:r>
      <w:r>
        <w:instrText xml:space="preserve"> TOC \o "1-3" \h \z \u </w:instrText>
      </w:r>
      <w:r>
        <w:fldChar w:fldCharType="separate"/>
      </w:r>
    </w:p>
    <w:p>
      <w:pPr>
        <w:pStyle w:val="TOC1"/>
      </w:pPr>
      <w:r>
        <w:t>Executive Summary</w:t>
      </w:r>
      <w:r>
        <w:tab/>
      </w:r>
      <w:r>
        <w:t>3</w:t>
      </w:r>
    </w:p>
    <w:p>
      <w:pPr>
        <w:pStyle w:val="TOC1"/>
      </w:pPr>
      <w:r>
        <w:t>Introduction</w:t>
      </w:r>
      <w:r>
        <w:tab/>
      </w:r>
      <w:r>
        <w:t>4</w:t>
      </w:r>
    </w:p>
    <w:p>
      <w:pPr>
        <w:pStyle w:val="TOC2"/>
      </w:pPr>
      <w:r>
        <w:t>The Problem</w:t>
      </w:r>
      <w:r>
        <w:tab/>
      </w:r>
      <w:r>
        <w:t>4</w:t>
      </w:r>
    </w:p>
    <w:p>
      <w:pPr>
        <w:pStyle w:val="TOC2"/>
      </w:pPr>
      <w:r>
        <w:t>Our Solution</w:t>
      </w:r>
      <w:r>
        <w:tab/>
      </w:r>
      <w:r>
        <w:t>5</w:t>
      </w:r>
    </w:p>
    <w:p>
      <w:pPr>
        <w:pStyle w:val="TOC1"/>
      </w:pPr>
      <w:r>
        <w:t>Technology</w:t>
      </w:r>
      <w:r>
        <w:tab/>
      </w:r>
      <w:r>
        <w:t>6</w:t>
      </w:r>
    </w:p>
    <w:p>
      <w:pPr>
        <w:pStyle w:val="TOC2"/>
      </w:pPr>
      <w:r>
        <w:t>Blockchain Architecture</w:t>
      </w:r>
      <w:r>
        <w:tab/>
      </w:r>
      <w:r>
        <w:t>6</w:t>
      </w:r>
    </w:p>
    <w:p>
      <w:pPr>
        <w:pStyle w:val="TOC2"/>
      </w:pPr>
      <w:r>
        <w:t>Consensus Mechanism</w:t>
      </w:r>
      <w:r>
        <w:tab/>
      </w:r>
      <w:r>
        <w:t>7</w:t>
      </w:r>
    </w:p>
    <w:p>
      <w:pPr>
        <w:pStyle w:val="TOC2"/>
      </w:pPr>
      <w:r>
        <w:t>Security Features</w:t>
      </w:r>
      <w:r>
        <w:tab/>
      </w:r>
      <w:r>
        <w:t>8</w:t>
      </w:r>
    </w:p>
    <w:p>
      <w:pPr>
        <w:pStyle w:val="TOC1"/>
      </w:pPr>
      <w:r>
        <w:t>Tokenomics</w:t>
      </w:r>
      <w:r>
        <w:tab/>
      </w:r>
      <w:r>
        <w:t>9</w:t>
      </w:r>
    </w:p>
    <w:p>
      <w:pPr>
        <w:pStyle w:val="TOC2"/>
      </w:pPr>
      <w:r>
        <w:t>Supply &amp; Distribution</w:t>
      </w:r>
      <w:r>
        <w:tab/>
      </w:r>
      <w:r>
        <w:t>9</w:t>
      </w:r>
    </w:p>
    <w:p>
      <w:pPr>
        <w:pStyle w:val="TOC2"/>
      </w:pPr>
      <w:r>
        <w:t>Mining Economics</w:t>
      </w:r>
      <w:r>
        <w:tab/>
      </w:r>
      <w:r>
        <w:t>10</w:t>
      </w:r>
    </w:p>
    <w:p>
      <w:pPr>
        <w:pStyle w:val="TOC2"/>
      </w:pPr>
      <w:r>
        <w:t>Halving Schedule</w:t>
      </w:r>
      <w:r>
        <w:tab/>
      </w:r>
      <w:r>
        <w:t>11</w:t>
      </w:r>
    </w:p>
    <w:p>
      <w:pPr>
        <w:pStyle w:val="TOC1"/>
      </w:pPr>
      <w:r>
        <w:t>Use Cases</w:t>
      </w:r>
      <w:r>
        <w:tab/>
      </w:r>
      <w:r>
        <w:t>12</w:t>
      </w:r>
    </w:p>
    <w:p>
      <w:pPr>
        <w:pStyle w:val="TOC1"/>
      </w:pPr>
      <w:r>
        <w:t>Ecosystem Integration</w:t>
      </w:r>
      <w:r>
        <w:tab/>
      </w:r>
      <w:r>
        <w:t>14</w:t>
      </w:r>
    </w:p>
    <w:p>
      <w:pPr>
        <w:pStyle w:val="TOC1"/>
      </w:pPr>
      <w:r>
        <w:t>Roadmap</w:t>
      </w:r>
      <w:r>
        <w:tab/>
      </w:r>
      <w:r>
        <w:t>15</w:t>
      </w:r>
    </w:p>
    <w:p>
      <w:pPr>
        <w:pStyle w:val="TOC1"/>
      </w:pPr>
      <w:r>
        <w:t>Team</w:t>
      </w:r>
      <w:r>
        <w:tab/>
      </w:r>
      <w:r>
        <w:t>17</w:t>
      </w:r>
    </w:p>
    <w:p>
      <w:pPr>
        <w:pStyle w:val="TOC1"/>
      </w:pPr>
      <w:r>
        <w:t>Legal &amp; Compliance</w:t>
      </w:r>
      <w:r>
        <w:tab/>
      </w:r>
      <w:r>
        <w:t>18</w:t>
      </w:r>
    </w:p>
    <w:p>
      <w:pPr>
        <w:pStyle w:val="TOC1"/>
      </w:pPr>
      <w:r>
        <w:t>Risk Factors</w:t>
      </w:r>
      <w:r>
        <w:tab/>
      </w:r>
      <w:r>
        <w:t>19</w:t>
      </w:r>
    </w:p>
    <w:p>
      <w:pPr>
        <w:pStyle w:val="TOC1"/>
      </w:pPr>
      <w:r>
        <w:t>Conclusion</w:t>
      </w:r>
      <w:r>
        <w:tab/>
      </w:r>
      <w:r>
        <w:t>20</w:t>
      </w:r>
    </w:p>
    <w:p>
      <w:r>
        <w:fldChar w:fldCharType="end"/>
      </w:r>
    </w:p>
    <w:p>
      <w:pPr>
        <w:sectPr>
          <w:type w:val="nextPage"/>
          <w:pgSz w:w="11906" w:h="16838"/>
          <w:pgMar w:top="1800" w:right="1440" w:bottom="1440" w:left="1440" w:header="720" w:footer="720"/>
        </w:sectPr>
      </w:pPr>
    </w:p>
    <w:p>
      <w:pPr>
        <w:pStyle w:val="Heading1"/>
      </w:pPr>
      <w:bookmarkStart w:name="_Toc001" w:id="001"/>
      <w:r>
        <w:t>Executive Summary</w:t>
      </w:r>
      <w:bookmarkEnd w:id="001"/>
    </w:p>
    <w:p>
      <w:r>
        <w:t>LifeCoin (LFC) is an independent decentralized Proof-of-Work blockchain built for fast, low-cost global transactions. With 1-minute block times, zero premine, and 100% fair distribution through mining, LifeCoin ensures accessibility, fairness, and real-world usability for everyone.</w:t>
      </w:r>
    </w:p>
    <w:p>
      <w:r>
        <w:t>Built on the proven Litecoin Core architecture with the Scrypt algorithm, LifeCoin combines the security of established blockchain technology with modern optimizations for speed and efficiency. Our vision is simple: to create a cryptocurrency that truly belongs to the people.</w:t>
      </w:r>
    </w:p>
    <w:p>
      <w:pPr>
        <w:pStyle w:val="Heading3"/>
      </w:pPr>
      <w:r>
        <w:t>Key Features</w:t>
      </w:r>
    </w:p>
    <w:p>
      <w:pPr>
        <w:numPr>
          <w:ilvl w:val="0"/>
          <w:numId w:val="2"/>
        </w:numPr>
      </w:pPr>
      <w:r>
        <w:t>Independent blockchain - no reliance on other networks</w:t>
      </w:r>
    </w:p>
    <w:p>
      <w:pPr>
        <w:numPr>
          <w:ilvl w:val="0"/>
          <w:numId w:val="2"/>
        </w:numPr>
      </w:pPr>
      <w:r>
        <w:t>Scrypt algorithm - GPU/CPU friendly mining</w:t>
      </w:r>
    </w:p>
    <w:p>
      <w:pPr>
        <w:numPr>
          <w:ilvl w:val="0"/>
          <w:numId w:val="2"/>
        </w:numPr>
      </w:pPr>
      <w:r>
        <w:t>84 million total supply with predictable issuance</w:t>
      </w:r>
    </w:p>
    <w:p>
      <w:pPr>
        <w:numPr>
          <w:ilvl w:val="0"/>
          <w:numId w:val="2"/>
        </w:numPr>
      </w:pPr>
      <w:r>
        <w:t>100% fair launch - no premine, no ICO, no founder allocation</w:t>
      </w:r>
    </w:p>
    <w:p>
      <w:pPr>
        <w:numPr>
          <w:ilvl w:val="0"/>
          <w:numId w:val="2"/>
        </w:numPr>
      </w:pPr>
      <w:r>
        <w:t>60-second block times for fast confirmations</w:t>
      </w:r>
    </w:p>
    <w:p>
      <w:pPr>
        <w:numPr>
          <w:ilvl w:val="0"/>
          <w:numId w:val="2"/>
        </w:numPr>
      </w:pPr>
      <w:r>
        <w:t>Halving every 840,000 blocks (~4 years)</w:t>
      </w:r>
    </w:p>
    <w:p>
      <w:pPr>
        <w:numPr>
          <w:ilvl w:val="0"/>
          <w:numId w:val="2"/>
        </w:numPr>
      </w:pPr>
      <w:r>
        <w:t>Integrated with LifeVerse gaming ecosystem</w:t>
      </w:r>
    </w:p>
    <w:p>
      <w:pPr>
        <w:pStyle w:val="Heading1"/>
      </w:pPr>
      <w:bookmarkStart w:name="_Toc002" w:id="002"/>
      <w:r>
        <w:t>Introduction</w:t>
      </w:r>
      <w:bookmarkEnd w:id="002"/>
    </w:p>
    <w:p>
      <w:pPr>
        <w:pStyle w:val="Heading2"/>
      </w:pPr>
      <w:r>
        <w:t>The Problem</w:t>
      </w:r>
    </w:p>
    <w:p>
      <w:r>
        <w:t>The cryptocurrency landscape has evolved significantly since Bitcoin's creation, but several fundamental issues remain unaddressed:</w:t>
      </w:r>
    </w:p>
    <w:p>
      <w:pPr>
        <w:pStyle w:val="Heading3"/>
      </w:pPr>
      <w:r>
        <w:t>Centralization Concerns</w:t>
      </w:r>
    </w:p>
    <w:p>
      <w:r>
        <w:t>Many modern cryptocurrencies suffer from centralization, whether through premines, founder allocations, or reliance on validator networks controlled by a few entities. This undermines the decentralized ethos that blockchain technology was built upon.</w:t>
      </w:r>
    </w:p>
    <w:p>
      <w:pPr>
        <w:pStyle w:val="Heading3"/>
      </w:pPr>
      <w:r>
        <w:t>High Barriers to Entry</w:t>
      </w:r>
    </w:p>
    <w:p>
      <w:r>
        <w:t>Complex tokenomics, expensive ICOs, and technical requirements have made cryptocurrency inaccessible to everyday users. The promise of financial inclusion remains unfulfilled for many.</w:t>
      </w:r>
    </w:p>
    <w:p>
      <w:pPr>
        <w:pStyle w:val="Heading3"/>
      </w:pPr>
      <w:r>
        <w:t>Slow and Expensive Transactions</w:t>
      </w:r>
    </w:p>
    <w:p>
      <w:r>
        <w:t>Many blockchains struggle with scalability, resulting in slow confirmation times and high transaction fees that make micropayments impractical.</w:t>
      </w:r>
    </w:p>
    <w:p>
      <w:pPr>
        <w:pStyle w:val="Heading2"/>
      </w:pPr>
      <w:r>
        <w:t>Our Solution</w:t>
      </w:r>
    </w:p>
    <w:p>
      <w:r>
        <w:t>LifeCoin addresses these challenges through a carefully designed blockchain that prioritizes fairness, accessibility, and utility:</w:t>
      </w:r>
    </w:p>
    <w:p>
      <w:pPr>
        <w:numPr>
          <w:ilvl w:val="0"/>
          <w:numId w:val="2"/>
        </w:numPr>
      </w:pPr>
      <w:r>
        <w:t>True decentralization through fair mining distribution</w:t>
      </w:r>
    </w:p>
    <w:p>
      <w:pPr>
        <w:numPr>
          <w:ilvl w:val="0"/>
          <w:numId w:val="2"/>
        </w:numPr>
      </w:pPr>
      <w:r>
        <w:t>Fast 1-minute block times for practical daily use</w:t>
      </w:r>
    </w:p>
    <w:p>
      <w:pPr>
        <w:numPr>
          <w:ilvl w:val="0"/>
          <w:numId w:val="2"/>
        </w:numPr>
      </w:pPr>
      <w:r>
        <w:t>Low transaction costs enabling micropayments</w:t>
      </w:r>
    </w:p>
    <w:p>
      <w:pPr>
        <w:numPr>
          <w:ilvl w:val="0"/>
          <w:numId w:val="2"/>
        </w:numPr>
      </w:pPr>
      <w:r>
        <w:t>Proven technology based on Litecoin Core</w:t>
      </w:r>
    </w:p>
    <w:p>
      <w:pPr>
        <w:numPr>
          <w:ilvl w:val="0"/>
          <w:numId w:val="2"/>
        </w:numPr>
      </w:pPr>
      <w:r>
        <w:t>Real-world utility through LifeVerse ecosystem integration</w:t>
      </w:r>
    </w:p>
    <w:p>
      <w:pPr>
        <w:pStyle w:val="Heading1"/>
      </w:pPr>
      <w:bookmarkStart w:name="_Toc003" w:id="003"/>
      <w:r>
        <w:t>Technology</w:t>
      </w:r>
      <w:bookmarkEnd w:id="003"/>
    </w:p>
    <w:p>
      <w:pPr>
        <w:pStyle w:val="Heading2"/>
      </w:pPr>
      <w:r>
        <w:t>Blockchain Architecture</w:t>
      </w:r>
    </w:p>
    <w:p>
      <w:r>
        <w:t>LifeCoin is built on the robust Litecoin Core architecture, leveraging years of development and security testing. Our implementation maintains compatibility with established standards while optimizing for our specific use cases.</w:t>
      </w:r>
    </w:p>
    <w:tbl>
      <w:tblPr>
        <w:tblW w:w="5000" w:type="pct"/>
        <w:tblBorders>
          <w:top w:val="single" w:color="D4AF37" w:sz="12"/>
          <w:left w:val="nil"/>
          <w:bottom w:val="single" w:color="D4AF37" w:sz="12"/>
          <w:right w:val="nil"/>
          <w:insideH w:val="nil"/>
          <w:insideV w:val="nil"/>
        </w:tblBorders>
        <w:tblCellMar>
          <w:top w:w="120" w:type="dxa"/>
          <w:left w:w="150" w:type="dxa"/>
          <w:bottom w:w="120" w:type="dxa"/>
          <w:right w:w="150" w:type="dxa"/>
        </w:tblCellMar>
      </w:tblPr>
      <w:tblGrid>
        <w:gridCol w:w="4000"/>
        <w:gridCol w:w="6000"/>
      </w:tblGrid>
      <w:tr>
        <w:trPr>
          <w:tblHeader/>
          <w:trHeight w:val="400" w:hRule="atLeast"/>
        </w:trPr>
        <w:tc>
          <w:tcPr>
            <w:tcW w:w="4000" w:type="dxa"/>
            <w:tcBorders>
              <w:bottom w:val="single" w:color="D4AF37" w:sz="6"/>
            </w:tcBorders>
            <w:shd w:val="clear" w:fill="FFF8E7"/>
            <w:vAlign w:val="center"/>
          </w:tcPr>
          <w:p>
            <w:pPr>
              <w:spacing w:before="0" w:after="0"/>
              <w:jc w:val="center"/>
            </w:pPr>
            <w:r>
              <w:rPr>
                <w:b/>
                <w:color w:val="1B263B"/>
                <w:sz w:val="21"/>
              </w:rPr>
              <w:t>Component</w:t>
            </w:r>
          </w:p>
        </w:tc>
        <w:tc>
          <w:tcPr>
            <w:tcW w:w="6000" w:type="dxa"/>
            <w:tcBorders>
              <w:bottom w:val="single" w:color="D4AF37" w:sz="6"/>
            </w:tcBorders>
            <w:shd w:val="clear" w:fill="FFF8E7"/>
            <w:vAlign w:val="center"/>
          </w:tcPr>
          <w:p>
            <w:pPr>
              <w:spacing w:before="0" w:after="0"/>
              <w:jc w:val="center"/>
            </w:pPr>
            <w:r>
              <w:rPr>
                <w:b/>
                <w:color w:val="1B263B"/>
                <w:sz w:val="21"/>
              </w:rPr>
              <w:t>Specification</w:t>
            </w:r>
          </w:p>
        </w:tc>
      </w:tr>
      <w:tr>
        <w:trPr>
          <w:trHeight w:val="360" w:hRule="atLeast"/>
        </w:trPr>
        <w:tc>
          <w:tcPr>
            <w:tcW w:w="4000" w:type="dxa"/>
            <w:vAlign w:val="center"/>
          </w:tcPr>
          <w:p>
            <w:pPr>
              <w:spacing w:before="0" w:after="0"/>
              <w:jc w:val="left"/>
            </w:pPr>
            <w:r>
              <w:rPr>
                <w:color w:val="1B263B"/>
                <w:sz w:val="21"/>
              </w:rPr>
              <w:t>Base Code</w:t>
            </w:r>
          </w:p>
        </w:tc>
        <w:tc>
          <w:tcPr>
            <w:tcW w:w="6000" w:type="dxa"/>
            <w:vAlign w:val="center"/>
          </w:tcPr>
          <w:p>
            <w:pPr>
              <w:spacing w:before="0" w:after="0"/>
              <w:jc w:val="left"/>
            </w:pPr>
            <w:r>
              <w:rPr>
                <w:color w:val="1B263B"/>
                <w:sz w:val="21"/>
              </w:rPr>
              <w:t>Litecoin Core</w:t>
            </w:r>
          </w:p>
        </w:tc>
      </w:tr>
      <w:tr>
        <w:trPr>
          <w:trHeight w:val="360" w:hRule="atLeast"/>
        </w:trPr>
        <w:tc>
          <w:tcPr>
            <w:tcW w:w="4000" w:type="dxa"/>
            <w:vAlign w:val="center"/>
          </w:tcPr>
          <w:p>
            <w:pPr>
              <w:spacing w:before="0" w:after="0"/>
              <w:jc w:val="left"/>
            </w:pPr>
            <w:r>
              <w:rPr>
                <w:color w:val="1B263B"/>
                <w:sz w:val="21"/>
              </w:rPr>
              <w:t>Consensus Algorithm</w:t>
            </w:r>
          </w:p>
        </w:tc>
        <w:tc>
          <w:tcPr>
            <w:tcW w:w="6000" w:type="dxa"/>
            <w:vAlign w:val="center"/>
          </w:tcPr>
          <w:p>
            <w:pPr>
              <w:spacing w:before="0" w:after="0"/>
              <w:jc w:val="left"/>
            </w:pPr>
            <w:r>
              <w:rPr>
                <w:color w:val="1B263B"/>
                <w:sz w:val="21"/>
              </w:rPr>
              <w:t>Scrypt (Proof-of-Work)</w:t>
            </w:r>
          </w:p>
        </w:tc>
      </w:tr>
      <w:tr>
        <w:trPr>
          <w:trHeight w:val="360" w:hRule="atLeast"/>
        </w:trPr>
        <w:tc>
          <w:tcPr>
            <w:tcW w:w="4000" w:type="dxa"/>
            <w:vAlign w:val="center"/>
          </w:tcPr>
          <w:p>
            <w:pPr>
              <w:spacing w:before="0" w:after="0"/>
              <w:jc w:val="left"/>
            </w:pPr>
            <w:r>
              <w:rPr>
                <w:color w:val="1B263B"/>
                <w:sz w:val="21"/>
              </w:rPr>
              <w:t>Cryptography</w:t>
            </w:r>
          </w:p>
        </w:tc>
        <w:tc>
          <w:tcPr>
            <w:tcW w:w="6000" w:type="dxa"/>
            <w:vAlign w:val="center"/>
          </w:tcPr>
          <w:p>
            <w:pPr>
              <w:spacing w:before="0" w:after="0"/>
              <w:jc w:val="left"/>
            </w:pPr>
            <w:r>
              <w:rPr>
                <w:color w:val="1B263B"/>
                <w:sz w:val="21"/>
              </w:rPr>
              <w:t>ECDSA (secp256k1)</w:t>
            </w:r>
          </w:p>
        </w:tc>
      </w:tr>
      <w:tr>
        <w:trPr>
          <w:trHeight w:val="360" w:hRule="atLeast"/>
        </w:trPr>
        <w:tc>
          <w:tcPr>
            <w:tcW w:w="4000" w:type="dxa"/>
            <w:vAlign w:val="center"/>
          </w:tcPr>
          <w:p>
            <w:pPr>
              <w:spacing w:before="0" w:after="0"/>
              <w:jc w:val="left"/>
            </w:pPr>
            <w:r>
              <w:rPr>
                <w:color w:val="1B263B"/>
                <w:sz w:val="21"/>
              </w:rPr>
              <w:t>Transaction Model</w:t>
            </w:r>
          </w:p>
        </w:tc>
        <w:tc>
          <w:tcPr>
            <w:tcW w:w="6000" w:type="dxa"/>
            <w:vAlign w:val="center"/>
          </w:tcPr>
          <w:p>
            <w:pPr>
              <w:spacing w:before="0" w:after="0"/>
              <w:jc w:val="left"/>
            </w:pPr>
            <w:r>
              <w:rPr>
                <w:color w:val="1B263B"/>
                <w:sz w:val="21"/>
              </w:rPr>
              <w:t>UTXO (Unspent Transaction Output)</w:t>
            </w:r>
          </w:p>
        </w:tc>
      </w:tr>
      <w:tr>
        <w:trPr>
          <w:trHeight w:val="360" w:hRule="atLeast"/>
        </w:trPr>
        <w:tc>
          <w:tcPr>
            <w:tcW w:w="4000" w:type="dxa"/>
            <w:vAlign w:val="center"/>
          </w:tcPr>
          <w:p>
            <w:pPr>
              <w:spacing w:before="0" w:after="0"/>
              <w:jc w:val="left"/>
            </w:pPr>
            <w:r>
              <w:rPr>
                <w:color w:val="1B263B"/>
                <w:sz w:val="21"/>
              </w:rPr>
              <w:t>Block Time</w:t>
            </w:r>
          </w:p>
        </w:tc>
        <w:tc>
          <w:tcPr>
            <w:tcW w:w="6000" w:type="dxa"/>
            <w:vAlign w:val="center"/>
          </w:tcPr>
          <w:p>
            <w:pPr>
              <w:spacing w:before="0" w:after="0"/>
              <w:jc w:val="left"/>
            </w:pPr>
            <w:r>
              <w:rPr>
                <w:color w:val="1B263B"/>
                <w:sz w:val="21"/>
              </w:rPr>
              <w:t>60 seconds</w:t>
            </w:r>
          </w:p>
        </w:tc>
      </w:tr>
      <w:tr>
        <w:trPr>
          <w:trHeight w:val="360" w:hRule="atLeast"/>
        </w:trPr>
        <w:tc>
          <w:tcPr>
            <w:tcW w:w="4000" w:type="dxa"/>
            <w:vAlign w:val="center"/>
          </w:tcPr>
          <w:p>
            <w:pPr>
              <w:spacing w:before="0" w:after="0"/>
              <w:jc w:val="left"/>
            </w:pPr>
            <w:r>
              <w:rPr>
                <w:color w:val="1B263B"/>
                <w:sz w:val="21"/>
              </w:rPr>
              <w:t>Difficulty Adjustment</w:t>
            </w:r>
          </w:p>
        </w:tc>
        <w:tc>
          <w:tcPr>
            <w:tcW w:w="6000" w:type="dxa"/>
            <w:vAlign w:val="center"/>
          </w:tcPr>
          <w:p>
            <w:pPr>
              <w:spacing w:before="0" w:after="0"/>
              <w:jc w:val="left"/>
            </w:pPr>
            <w:r>
              <w:rPr>
                <w:color w:val="1B263B"/>
                <w:sz w:val="21"/>
              </w:rPr>
              <w:t>Every 3.5 days (2016 blocks)</w:t>
            </w:r>
          </w:p>
        </w:tc>
      </w:tr>
      <w:tr>
        <w:trPr>
          <w:trHeight w:val="360" w:hRule="atLeast"/>
        </w:trPr>
        <w:tc>
          <w:tcPr>
            <w:tcW w:w="4000" w:type="dxa"/>
            <w:vAlign w:val="center"/>
          </w:tcPr>
          <w:p>
            <w:pPr>
              <w:spacing w:before="0" w:after="0"/>
              <w:jc w:val="left"/>
            </w:pPr>
            <w:r>
              <w:rPr>
                <w:color w:val="1B263B"/>
                <w:sz w:val="21"/>
              </w:rPr>
              <w:t>Network Port</w:t>
            </w:r>
          </w:p>
        </w:tc>
        <w:tc>
          <w:tcPr>
            <w:tcW w:w="6000" w:type="dxa"/>
            <w:vAlign w:val="center"/>
          </w:tcPr>
          <w:p>
            <w:pPr>
              <w:spacing w:before="0" w:after="0"/>
              <w:jc w:val="left"/>
            </w:pPr>
            <w:r>
              <w:rPr>
                <w:color w:val="1B263B"/>
                <w:sz w:val="21"/>
              </w:rPr>
              <w:t>9333 (mainnet), 19333 (testnet)</w:t>
            </w:r>
          </w:p>
        </w:tc>
      </w:tr>
    </w:tbl>
    <w:p>
      <w:pPr>
        <w:pStyle w:val="Caption"/>
      </w:pPr>
      <w:r>
        <w:t>Table 1: Technical Architecture</w:t>
      </w:r>
    </w:p>
    <w:p>
      <w:pPr>
        <w:pStyle w:val="Heading2"/>
      </w:pPr>
      <w:r>
        <w:t>Consensus Mechanism</w:t>
      </w:r>
    </w:p>
    <w:p>
      <w:r>
        <w:t>LifeCoin uses the Scrypt proof-of-work algorithm, chosen for its ASIC resistance and accessibility to GPU and CPU miners. This ensures a more decentralized mining landscape compared to SHA-256 based cryptocurrencies.</w:t>
      </w:r>
    </w:p>
    <w:p>
      <w:pPr>
        <w:pStyle w:val="Heading3"/>
      </w:pPr>
      <w:r>
        <w:t>Why Scrypt?</w:t>
      </w:r>
    </w:p>
    <w:p>
      <w:pPr>
        <w:numPr>
          <w:ilvl w:val="0"/>
          <w:numId w:val="2"/>
        </w:numPr>
      </w:pPr>
      <w:r>
        <w:t>Memory-hard algorithm resists ASIC centralization</w:t>
      </w:r>
    </w:p>
    <w:p>
      <w:pPr>
        <w:numPr>
          <w:ilvl w:val="0"/>
          <w:numId w:val="2"/>
        </w:numPr>
      </w:pPr>
      <w:r>
        <w:t>Accessible to GPU and CPU miners</w:t>
      </w:r>
    </w:p>
    <w:p>
      <w:pPr>
        <w:numPr>
          <w:ilvl w:val="0"/>
          <w:numId w:val="2"/>
        </w:numPr>
      </w:pPr>
      <w:r>
        <w:t>Lower barrier to entry for new miners</w:t>
      </w:r>
    </w:p>
    <w:p>
      <w:pPr>
        <w:numPr>
          <w:ilvl w:val="0"/>
          <w:numId w:val="2"/>
        </w:numPr>
      </w:pPr>
      <w:r>
        <w:t>Proven security through Litecoin's history</w:t>
      </w:r>
    </w:p>
    <w:p>
      <w:pPr>
        <w:numPr>
          <w:ilvl w:val="0"/>
          <w:numId w:val="2"/>
        </w:numPr>
      </w:pPr>
      <w:r>
        <w:t>Energy efficient compared to SHA-256</w:t>
      </w:r>
    </w:p>
    <w:p>
      <w:pPr>
        <w:pStyle w:val="Heading2"/>
      </w:pPr>
      <w:r>
        <w:t>Security Features</w:t>
      </w:r>
    </w:p>
    <w:p>
      <w:r>
        <w:t>Security is paramount in the LifeCoin design. Multiple layers of protection ensure the integrity and safety of the network:</w:t>
      </w:r>
    </w:p>
    <w:p>
      <w:pPr>
        <w:pStyle w:val="Heading3"/>
      </w:pPr>
      <w:r>
        <w:t>Network Security</w:t>
      </w:r>
    </w:p>
    <w:p>
      <w:pPr>
        <w:numPr>
          <w:ilvl w:val="0"/>
          <w:numId w:val="2"/>
        </w:numPr>
      </w:pPr>
      <w:r>
        <w:t>Decentralized mining prevents 51% attacks</w:t>
      </w:r>
    </w:p>
    <w:p>
      <w:pPr>
        <w:numPr>
          <w:ilvl w:val="0"/>
          <w:numId w:val="2"/>
        </w:numPr>
      </w:pPr>
      <w:r>
        <w:t>Difficulty adjustment every 3.5 days maintains consistent block times</w:t>
      </w:r>
    </w:p>
    <w:p>
      <w:pPr>
        <w:numPr>
          <w:ilvl w:val="0"/>
          <w:numId w:val="2"/>
        </w:numPr>
      </w:pPr>
      <w:r>
        <w:t>Mempool management prevents spam attacks</w:t>
      </w:r>
    </w:p>
    <w:p>
      <w:pPr>
        <w:numPr>
          <w:ilvl w:val="0"/>
          <w:numId w:val="2"/>
        </w:numPr>
      </w:pPr>
      <w:r>
        <w:t>Peer-to-peer network with robust node distribution</w:t>
      </w:r>
    </w:p>
    <w:p>
      <w:pPr>
        <w:pStyle w:val="Heading3"/>
      </w:pPr>
      <w:r>
        <w:t>Transaction Security</w:t>
      </w:r>
    </w:p>
    <w:p>
      <w:pPr>
        <w:numPr>
          <w:ilvl w:val="0"/>
          <w:numId w:val="2"/>
        </w:numPr>
      </w:pPr>
      <w:r>
        <w:t>ECDSA cryptography for secure signatures</w:t>
      </w:r>
    </w:p>
    <w:p>
      <w:pPr>
        <w:numPr>
          <w:ilvl w:val="0"/>
          <w:numId w:val="2"/>
        </w:numPr>
      </w:pPr>
      <w:r>
        <w:t>UTXO model prevents double-spending</w:t>
      </w:r>
    </w:p>
    <w:p>
      <w:pPr>
        <w:numPr>
          <w:ilvl w:val="0"/>
          <w:numId w:val="2"/>
        </w:numPr>
      </w:pPr>
      <w:r>
        <w:t>6-block confirmation for finality</w:t>
      </w:r>
    </w:p>
    <w:p>
      <w:pPr>
        <w:numPr>
          <w:ilvl w:val="0"/>
          <w:numId w:val="2"/>
        </w:numPr>
      </w:pPr>
      <w:r>
        <w:t>Optional transaction fees for priority processing</w:t>
      </w:r>
    </w:p>
    <w:p>
      <w:pPr>
        <w:pStyle w:val="Heading1"/>
      </w:pPr>
      <w:bookmarkStart w:name="_Toc004" w:id="004"/>
      <w:r>
        <w:t>Tokenomics</w:t>
      </w:r>
      <w:bookmarkEnd w:id="004"/>
    </w:p>
    <w:p>
      <w:pPr>
        <w:pStyle w:val="Heading2"/>
      </w:pPr>
      <w:r>
        <w:t>Supply &amp; Distribution</w:t>
      </w:r>
    </w:p>
    <w:p>
      <w:r>
        <w:t>LifeCoin features a fixed total supply with a predictable issuance schedule, ensuring long-term value preservation and transparent monetary policy.</w:t>
      </w:r>
    </w:p>
    <w:tbl>
      <w:tblPr>
        <w:tblW w:w="5000" w:type="pct"/>
        <w:tblBorders>
          <w:top w:val="single" w:color="D4AF37" w:sz="12"/>
          <w:left w:val="nil"/>
          <w:bottom w:val="single" w:color="D4AF37" w:sz="12"/>
          <w:right w:val="nil"/>
          <w:insideH w:val="nil"/>
          <w:insideV w:val="nil"/>
        </w:tblBorders>
        <w:tblCellMar>
          <w:top w:w="120" w:type="dxa"/>
          <w:left w:w="150" w:type="dxa"/>
          <w:bottom w:w="120" w:type="dxa"/>
          <w:right w:w="150" w:type="dxa"/>
        </w:tblCellMar>
      </w:tblPr>
      <w:tblGrid>
        <w:gridCol w:w="4500"/>
        <w:gridCol w:w="5500"/>
      </w:tblGrid>
      <w:tr>
        <w:trPr>
          <w:tblHeader/>
          <w:trHeight w:val="400" w:hRule="atLeast"/>
        </w:trPr>
        <w:tc>
          <w:tcPr>
            <w:tcW w:w="4500" w:type="dxa"/>
            <w:tcBorders>
              <w:bottom w:val="single" w:color="D4AF37" w:sz="6"/>
            </w:tcBorders>
            <w:shd w:val="clear" w:fill="FFF8E7"/>
            <w:vAlign w:val="center"/>
          </w:tcPr>
          <w:p>
            <w:pPr>
              <w:spacing w:before="0" w:after="0"/>
              <w:jc w:val="center"/>
            </w:pPr>
            <w:r>
              <w:rPr>
                <w:b/>
                <w:color w:val="1B263B"/>
                <w:sz w:val="21"/>
              </w:rPr>
              <w:t>Parameter</w:t>
            </w:r>
          </w:p>
        </w:tc>
        <w:tc>
          <w:tcPr>
            <w:tcW w:w="5500" w:type="dxa"/>
            <w:tcBorders>
              <w:bottom w:val="single" w:color="D4AF37" w:sz="6"/>
            </w:tcBorders>
            <w:shd w:val="clear" w:fill="FFF8E7"/>
            <w:vAlign w:val="center"/>
          </w:tcPr>
          <w:p>
            <w:pPr>
              <w:spacing w:before="0" w:after="0"/>
              <w:jc w:val="center"/>
            </w:pPr>
            <w:r>
              <w:rPr>
                <w:b/>
                <w:color w:val="1B263B"/>
                <w:sz w:val="21"/>
              </w:rPr>
              <w:t>Value</w:t>
            </w:r>
          </w:p>
        </w:tc>
      </w:tr>
      <w:tr>
        <w:trPr>
          <w:trHeight w:val="360" w:hRule="atLeast"/>
        </w:trPr>
        <w:tc>
          <w:tcPr>
            <w:tcW w:w="4500" w:type="dxa"/>
            <w:vAlign w:val="center"/>
          </w:tcPr>
          <w:p>
            <w:pPr>
              <w:spacing w:before="0" w:after="0"/>
              <w:jc w:val="left"/>
            </w:pPr>
            <w:r>
              <w:rPr>
                <w:color w:val="1B263B"/>
                <w:sz w:val="21"/>
              </w:rPr>
              <w:t>Total Supply</w:t>
            </w:r>
          </w:p>
        </w:tc>
        <w:tc>
          <w:tcPr>
            <w:tcW w:w="5500" w:type="dxa"/>
            <w:vAlign w:val="center"/>
          </w:tcPr>
          <w:p>
            <w:pPr>
              <w:spacing w:before="0" w:after="0"/>
              <w:jc w:val="left"/>
            </w:pPr>
            <w:r>
              <w:rPr>
                <w:color w:val="1B263B"/>
                <w:sz w:val="21"/>
              </w:rPr>
              <w:t>84,000,000 LFC</w:t>
            </w:r>
          </w:p>
        </w:tc>
      </w:tr>
      <w:tr>
        <w:trPr>
          <w:trHeight w:val="360" w:hRule="atLeast"/>
        </w:trPr>
        <w:tc>
          <w:tcPr>
            <w:tcW w:w="4500" w:type="dxa"/>
            <w:vAlign w:val="center"/>
          </w:tcPr>
          <w:p>
            <w:pPr>
              <w:spacing w:before="0" w:after="0"/>
              <w:jc w:val="left"/>
            </w:pPr>
            <w:r>
              <w:rPr>
                <w:color w:val="1B263B"/>
                <w:sz w:val="21"/>
              </w:rPr>
              <w:t>Initial Block Reward</w:t>
            </w:r>
          </w:p>
        </w:tc>
        <w:tc>
          <w:tcPr>
            <w:tcW w:w="5500" w:type="dxa"/>
            <w:vAlign w:val="center"/>
          </w:tcPr>
          <w:p>
            <w:pPr>
              <w:spacing w:before="0" w:after="0"/>
              <w:jc w:val="left"/>
            </w:pPr>
            <w:r>
              <w:rPr>
                <w:color w:val="1B263B"/>
                <w:sz w:val="21"/>
              </w:rPr>
              <w:t>50 LFC</w:t>
            </w:r>
          </w:p>
        </w:tc>
      </w:tr>
      <w:tr>
        <w:trPr>
          <w:trHeight w:val="360" w:hRule="atLeast"/>
        </w:trPr>
        <w:tc>
          <w:tcPr>
            <w:tcW w:w="4500" w:type="dxa"/>
            <w:vAlign w:val="center"/>
          </w:tcPr>
          <w:p>
            <w:pPr>
              <w:spacing w:before="0" w:after="0"/>
              <w:jc w:val="left"/>
            </w:pPr>
            <w:r>
              <w:rPr>
                <w:color w:val="1B263B"/>
                <w:sz w:val="21"/>
              </w:rPr>
              <w:t>Distribution Method</w:t>
            </w:r>
          </w:p>
        </w:tc>
        <w:tc>
          <w:tcPr>
            <w:tcW w:w="5500" w:type="dxa"/>
            <w:vAlign w:val="center"/>
          </w:tcPr>
          <w:p>
            <w:pPr>
              <w:spacing w:before="0" w:after="0"/>
              <w:jc w:val="left"/>
            </w:pPr>
            <w:r>
              <w:rPr>
                <w:color w:val="1B263B"/>
                <w:sz w:val="21"/>
              </w:rPr>
              <w:t>100% Mining</w:t>
            </w:r>
          </w:p>
        </w:tc>
      </w:tr>
      <w:tr>
        <w:trPr>
          <w:trHeight w:val="360" w:hRule="atLeast"/>
        </w:trPr>
        <w:tc>
          <w:tcPr>
            <w:tcW w:w="4500" w:type="dxa"/>
            <w:vAlign w:val="center"/>
          </w:tcPr>
          <w:p>
            <w:pPr>
              <w:spacing w:before="0" w:after="0"/>
              <w:jc w:val="left"/>
            </w:pPr>
            <w:r>
              <w:rPr>
                <w:color w:val="1B263B"/>
                <w:sz w:val="21"/>
              </w:rPr>
              <w:t>Premine</w:t>
            </w:r>
          </w:p>
        </w:tc>
        <w:tc>
          <w:tcPr>
            <w:tcW w:w="5500" w:type="dxa"/>
            <w:vAlign w:val="center"/>
          </w:tcPr>
          <w:p>
            <w:pPr>
              <w:spacing w:before="0" w:after="0"/>
              <w:jc w:val="left"/>
            </w:pPr>
            <w:r>
              <w:rPr>
                <w:color w:val="1B263B"/>
                <w:sz w:val="21"/>
              </w:rPr>
              <w:t>0 LFC</w:t>
            </w:r>
          </w:p>
        </w:tc>
      </w:tr>
      <w:tr>
        <w:trPr>
          <w:trHeight w:val="360" w:hRule="atLeast"/>
        </w:trPr>
        <w:tc>
          <w:tcPr>
            <w:tcW w:w="4500" w:type="dxa"/>
            <w:vAlign w:val="center"/>
          </w:tcPr>
          <w:p>
            <w:pPr>
              <w:spacing w:before="0" w:after="0"/>
              <w:jc w:val="left"/>
            </w:pPr>
            <w:r>
              <w:rPr>
                <w:color w:val="1B263B"/>
                <w:sz w:val="21"/>
              </w:rPr>
              <w:t>ICO / Founder Allocation</w:t>
            </w:r>
          </w:p>
        </w:tc>
        <w:tc>
          <w:tcPr>
            <w:tcW w:w="5500" w:type="dxa"/>
            <w:vAlign w:val="center"/>
          </w:tcPr>
          <w:p>
            <w:pPr>
              <w:spacing w:before="0" w:after="0"/>
              <w:jc w:val="left"/>
            </w:pPr>
            <w:r>
              <w:rPr>
                <w:color w:val="1B263B"/>
                <w:sz w:val="21"/>
              </w:rPr>
              <w:t>0 LFC</w:t>
            </w:r>
          </w:p>
        </w:tc>
      </w:tr>
      <w:tr>
        <w:trPr>
          <w:trHeight w:val="360" w:hRule="atLeast"/>
        </w:trPr>
        <w:tc>
          <w:tcPr>
            <w:tcW w:w="4500" w:type="dxa"/>
            <w:vAlign w:val="center"/>
          </w:tcPr>
          <w:p>
            <w:pPr>
              <w:spacing w:before="0" w:after="0"/>
              <w:jc w:val="left"/>
            </w:pPr>
            <w:r>
              <w:rPr>
                <w:color w:val="1B263B"/>
                <w:sz w:val="21"/>
              </w:rPr>
              <w:t>Halving Interval</w:t>
            </w:r>
          </w:p>
        </w:tc>
        <w:tc>
          <w:tcPr>
            <w:tcW w:w="5500" w:type="dxa"/>
            <w:vAlign w:val="center"/>
          </w:tcPr>
          <w:p>
            <w:pPr>
              <w:spacing w:before="0" w:after="0"/>
              <w:jc w:val="left"/>
            </w:pPr>
            <w:r>
              <w:rPr>
                <w:color w:val="1B263B"/>
                <w:sz w:val="21"/>
              </w:rPr>
              <w:t>840,000 blocks (~4 years)</w:t>
            </w:r>
          </w:p>
        </w:tc>
      </w:tr>
    </w:tbl>
    <w:p>
      <w:pPr>
        <w:pStyle w:val="Caption"/>
      </w:pPr>
      <w:r>
        <w:t>Table 2: Supply Parameters</w:t>
      </w:r>
    </w:p>
    <w:p>
      <w:pPr>
        <w:pStyle w:val="Heading3"/>
      </w:pPr>
      <w:r>
        <w:t>Fair Distribution</w:t>
      </w:r>
    </w:p>
    <w:p>
      <w:r>
        <w:t>LifeCoin's distribution model is designed to be the fairest possible: 100% of coins are distributed through mining rewards. There is no premine, no ICO, no founder allocation, and no team reserve. Every LifeCoin in existence will be earned through proof-of-work mining.</w:t>
      </w:r>
    </w:p>
    <w:p>
      <w:pPr>
        <w:pStyle w:val="Heading2"/>
      </w:pPr>
      <w:r>
        <w:t>Mining Economics</w:t>
      </w:r>
    </w:p>
    <w:p>
      <w:r>
        <w:t>Mining is the backbone of the LifeCoin network, providing security while distributing coins fairly to participants.</w:t>
      </w:r>
    </w:p>
    <w:p>
      <w:pPr>
        <w:pStyle w:val="Heading3"/>
      </w:pPr>
      <w:r>
        <w:t>Block Rewards</w:t>
      </w:r>
    </w:p>
    <w:p>
      <w:r>
        <w:t>Miners receive 50 LFC for each successfully mined block. This reward incentivizes network participation and security while gradually introducing new coins into circulation.</w:t>
      </w:r>
    </w:p>
    <w:p>
      <w:pPr>
        <w:pStyle w:val="Heading3"/>
      </w:pPr>
      <w:r>
        <w:t>Mining Requirements</w:t>
      </w:r>
    </w:p>
    <w:p>
      <w:pPr>
        <w:numPr>
          <w:ilvl w:val="0"/>
          <w:numId w:val="2"/>
        </w:numPr>
      </w:pPr>
      <w:r>
        <w:t>GPU or CPU hardware (ASIC-resistant)</w:t>
      </w:r>
    </w:p>
    <w:p>
      <w:pPr>
        <w:numPr>
          <w:ilvl w:val="0"/>
          <w:numId w:val="2"/>
        </w:numPr>
      </w:pPr>
      <w:r>
        <w:t>Stable internet connection</w:t>
      </w:r>
    </w:p>
    <w:p>
      <w:pPr>
        <w:numPr>
          <w:ilvl w:val="0"/>
          <w:numId w:val="2"/>
        </w:numPr>
      </w:pPr>
      <w:r>
        <w:t>LifeCoin wallet for reward collection</w:t>
      </w:r>
    </w:p>
    <w:p>
      <w:pPr>
        <w:numPr>
          <w:ilvl w:val="0"/>
          <w:numId w:val="2"/>
        </w:numPr>
      </w:pPr>
      <w:r>
        <w:t>Mining software compatible with Scrypt</w:t>
      </w:r>
    </w:p>
    <w:p>
      <w:pPr>
        <w:pStyle w:val="Heading2"/>
      </w:pPr>
      <w:r>
        <w:t>Halving Schedule</w:t>
      </w:r>
    </w:p>
    <w:p>
      <w:r>
        <w:t>LifeCoin follows a predictable halving schedule that reduces block rewards by 50% every 840,000 blocks (approximately 4 years). This creates a disinflationary monetary policy similar to Bitcoin and Litecoin.</w:t>
      </w:r>
    </w:p>
    <w:tbl>
      <w:tblPr>
        <w:tblW w:w="5000" w:type="pct"/>
        <w:tblBorders>
          <w:top w:val="single" w:color="D4AF37" w:sz="12"/>
          <w:left w:val="nil"/>
          <w:bottom w:val="single" w:color="D4AF37" w:sz="12"/>
          <w:right w:val="nil"/>
          <w:insideH w:val="nil"/>
          <w:insideV w:val="nil"/>
        </w:tblBorders>
        <w:tblCellMar>
          <w:top w:w="120" w:type="dxa"/>
          <w:left w:w="150" w:type="dxa"/>
          <w:bottom w:w="120" w:type="dxa"/>
          <w:right w:w="150" w:type="dxa"/>
        </w:tblCellMar>
      </w:tblPr>
      <w:tblGrid>
        <w:gridCol w:w="2000"/>
        <w:gridCol w:w="2500"/>
        <w:gridCol w:w="2500"/>
        <w:gridCol w:w="3000"/>
      </w:tblGrid>
      <w:tr>
        <w:trPr>
          <w:tblHeader/>
          <w:trHeight w:val="400" w:hRule="atLeast"/>
        </w:trPr>
        <w:tc>
          <w:tcPr>
            <w:tcW w:w="2000" w:type="dxa"/>
            <w:tcBorders>
              <w:bottom w:val="single" w:color="D4AF37" w:sz="6"/>
            </w:tcBorders>
            <w:shd w:val="clear" w:fill="FFF8E7"/>
            <w:vAlign w:val="center"/>
          </w:tcPr>
          <w:p>
            <w:pPr>
              <w:spacing w:before="0" w:after="0"/>
              <w:jc w:val="center"/>
            </w:pPr>
            <w:r>
              <w:rPr>
                <w:b/>
                <w:color w:val="1B263B"/>
                <w:sz w:val="21"/>
              </w:rPr>
              <w:t>Era</w:t>
            </w:r>
          </w:p>
        </w:tc>
        <w:tc>
          <w:tcPr>
            <w:tcW w:w="2500" w:type="dxa"/>
            <w:tcBorders>
              <w:bottom w:val="single" w:color="D4AF37" w:sz="6"/>
            </w:tcBorders>
            <w:shd w:val="clear" w:fill="FFF8E7"/>
            <w:vAlign w:val="center"/>
          </w:tcPr>
          <w:p>
            <w:pPr>
              <w:spacing w:before="0" w:after="0"/>
              <w:jc w:val="center"/>
            </w:pPr>
            <w:r>
              <w:rPr>
                <w:b/>
                <w:color w:val="1B263B"/>
                <w:sz w:val="21"/>
              </w:rPr>
              <w:t>Block Range</w:t>
            </w:r>
          </w:p>
        </w:tc>
        <w:tc>
          <w:tcPr>
            <w:tcW w:w="2500" w:type="dxa"/>
            <w:tcBorders>
              <w:bottom w:val="single" w:color="D4AF37" w:sz="6"/>
            </w:tcBorders>
            <w:shd w:val="clear" w:fill="FFF8E7"/>
            <w:vAlign w:val="center"/>
          </w:tcPr>
          <w:p>
            <w:pPr>
              <w:spacing w:before="0" w:after="0"/>
              <w:jc w:val="center"/>
            </w:pPr>
            <w:r>
              <w:rPr>
                <w:b/>
                <w:color w:val="1B263B"/>
                <w:sz w:val="21"/>
              </w:rPr>
              <w:t>Block Reward</w:t>
            </w:r>
          </w:p>
        </w:tc>
        <w:tc>
          <w:tcPr>
            <w:tcW w:w="3000" w:type="dxa"/>
            <w:tcBorders>
              <w:bottom w:val="single" w:color="D4AF37" w:sz="6"/>
            </w:tcBorders>
            <w:shd w:val="clear" w:fill="FFF8E7"/>
            <w:vAlign w:val="center"/>
          </w:tcPr>
          <w:p>
            <w:pPr>
              <w:spacing w:before="0" w:after="0"/>
              <w:jc w:val="center"/>
            </w:pPr>
            <w:r>
              <w:rPr>
                <w:b/>
                <w:color w:val="1B263B"/>
                <w:sz w:val="21"/>
              </w:rPr>
              <w:t>New Supply</w:t>
            </w:r>
          </w:p>
        </w:tc>
      </w:tr>
      <w:tr>
        <w:trPr>
          <w:trHeight w:val="360" w:hRule="atLeast"/>
        </w:trPr>
        <w:tc>
          <w:tcPr>
            <w:tcW w:w="2000" w:type="dxa"/>
            <w:vAlign w:val="center"/>
          </w:tcPr>
          <w:p>
            <w:pPr>
              <w:spacing w:before="0" w:after="0"/>
              <w:jc w:val="left"/>
            </w:pPr>
            <w:r>
              <w:rPr>
                <w:color w:val="1B263B"/>
                <w:sz w:val="21"/>
              </w:rPr>
              <w:t>Genesis</w:t>
            </w:r>
          </w:p>
        </w:tc>
        <w:tc>
          <w:tcPr>
            <w:tcW w:w="2500" w:type="dxa"/>
            <w:vAlign w:val="center"/>
          </w:tcPr>
          <w:p>
            <w:pPr>
              <w:spacing w:before="0" w:after="0"/>
              <w:jc w:val="left"/>
            </w:pPr>
            <w:r>
              <w:rPr>
                <w:color w:val="1B263B"/>
                <w:sz w:val="21"/>
              </w:rPr>
              <w:t>0 - 840,000</w:t>
            </w:r>
          </w:p>
        </w:tc>
        <w:tc>
          <w:tcPr>
            <w:tcW w:w="2500" w:type="dxa"/>
            <w:vAlign w:val="center"/>
          </w:tcPr>
          <w:p>
            <w:pPr>
              <w:spacing w:before="0" w:after="0"/>
              <w:jc w:val="left"/>
            </w:pPr>
            <w:r>
              <w:rPr>
                <w:color w:val="1B263B"/>
                <w:sz w:val="21"/>
              </w:rPr>
              <w:t>50 LFC</w:t>
            </w:r>
          </w:p>
        </w:tc>
        <w:tc>
          <w:tcPr>
            <w:tcW w:w="3000" w:type="dxa"/>
            <w:vAlign w:val="center"/>
          </w:tcPr>
          <w:p>
            <w:pPr>
              <w:spacing w:before="0" w:after="0"/>
              <w:jc w:val="left"/>
            </w:pPr>
            <w:r>
              <w:rPr>
                <w:color w:val="1B263B"/>
                <w:sz w:val="21"/>
              </w:rPr>
              <w:t>42,000,000 LFC</w:t>
            </w:r>
          </w:p>
        </w:tc>
      </w:tr>
      <w:tr>
        <w:trPr>
          <w:trHeight w:val="360" w:hRule="atLeast"/>
        </w:trPr>
        <w:tc>
          <w:tcPr>
            <w:tcW w:w="2000" w:type="dxa"/>
            <w:vAlign w:val="center"/>
          </w:tcPr>
          <w:p>
            <w:pPr>
              <w:spacing w:before="0" w:after="0"/>
              <w:jc w:val="left"/>
            </w:pPr>
            <w:r>
              <w:rPr>
                <w:color w:val="1B263B"/>
                <w:sz w:val="21"/>
              </w:rPr>
              <w:t>1st Halving</w:t>
            </w:r>
          </w:p>
        </w:tc>
        <w:tc>
          <w:tcPr>
            <w:tcW w:w="2500" w:type="dxa"/>
            <w:vAlign w:val="center"/>
          </w:tcPr>
          <w:p>
            <w:pPr>
              <w:spacing w:before="0" w:after="0"/>
              <w:jc w:val="left"/>
            </w:pPr>
            <w:r>
              <w:rPr>
                <w:color w:val="1B263B"/>
                <w:sz w:val="21"/>
              </w:rPr>
              <w:t>840,001 - 1,680,000</w:t>
            </w:r>
          </w:p>
        </w:tc>
        <w:tc>
          <w:tcPr>
            <w:tcW w:w="2500" w:type="dxa"/>
            <w:vAlign w:val="center"/>
          </w:tcPr>
          <w:p>
            <w:pPr>
              <w:spacing w:before="0" w:after="0"/>
              <w:jc w:val="left"/>
            </w:pPr>
            <w:r>
              <w:rPr>
                <w:color w:val="1B263B"/>
                <w:sz w:val="21"/>
              </w:rPr>
              <w:t>25 LFC</w:t>
            </w:r>
          </w:p>
        </w:tc>
        <w:tc>
          <w:tcPr>
            <w:tcW w:w="3000" w:type="dxa"/>
            <w:vAlign w:val="center"/>
          </w:tcPr>
          <w:p>
            <w:pPr>
              <w:spacing w:before="0" w:after="0"/>
              <w:jc w:val="left"/>
            </w:pPr>
            <w:r>
              <w:rPr>
                <w:color w:val="1B263B"/>
                <w:sz w:val="21"/>
              </w:rPr>
              <w:t>21,000,000 LFC</w:t>
            </w:r>
          </w:p>
        </w:tc>
      </w:tr>
      <w:tr>
        <w:trPr>
          <w:trHeight w:val="360" w:hRule="atLeast"/>
        </w:trPr>
        <w:tc>
          <w:tcPr>
            <w:tcW w:w="2000" w:type="dxa"/>
            <w:vAlign w:val="center"/>
          </w:tcPr>
          <w:p>
            <w:pPr>
              <w:spacing w:before="0" w:after="0"/>
              <w:jc w:val="left"/>
            </w:pPr>
            <w:r>
              <w:rPr>
                <w:color w:val="1B263B"/>
                <w:sz w:val="21"/>
              </w:rPr>
              <w:t>2nd Halving</w:t>
            </w:r>
          </w:p>
        </w:tc>
        <w:tc>
          <w:tcPr>
            <w:tcW w:w="2500" w:type="dxa"/>
            <w:vAlign w:val="center"/>
          </w:tcPr>
          <w:p>
            <w:pPr>
              <w:spacing w:before="0" w:after="0"/>
              <w:jc w:val="left"/>
            </w:pPr>
            <w:r>
              <w:rPr>
                <w:color w:val="1B263B"/>
                <w:sz w:val="21"/>
              </w:rPr>
              <w:t>1,680,001 - 2,520,000</w:t>
            </w:r>
          </w:p>
        </w:tc>
        <w:tc>
          <w:tcPr>
            <w:tcW w:w="2500" w:type="dxa"/>
            <w:vAlign w:val="center"/>
          </w:tcPr>
          <w:p>
            <w:pPr>
              <w:spacing w:before="0" w:after="0"/>
              <w:jc w:val="left"/>
            </w:pPr>
            <w:r>
              <w:rPr>
                <w:color w:val="1B263B"/>
                <w:sz w:val="21"/>
              </w:rPr>
              <w:t>12.5 LFC</w:t>
            </w:r>
          </w:p>
        </w:tc>
        <w:tc>
          <w:tcPr>
            <w:tcW w:w="3000" w:type="dxa"/>
            <w:vAlign w:val="center"/>
          </w:tcPr>
          <w:p>
            <w:pPr>
              <w:spacing w:before="0" w:after="0"/>
              <w:jc w:val="left"/>
            </w:pPr>
            <w:r>
              <w:rPr>
                <w:color w:val="1B263B"/>
                <w:sz w:val="21"/>
              </w:rPr>
              <w:t>10,500,000 LFC</w:t>
            </w:r>
          </w:p>
        </w:tc>
      </w:tr>
      <w:tr>
        <w:trPr>
          <w:trHeight w:val="360" w:hRule="atLeast"/>
        </w:trPr>
        <w:tc>
          <w:tcPr>
            <w:tcW w:w="2000" w:type="dxa"/>
            <w:vAlign w:val="center"/>
          </w:tcPr>
          <w:p>
            <w:pPr>
              <w:spacing w:before="0" w:after="0"/>
              <w:jc w:val="left"/>
            </w:pPr>
            <w:r>
              <w:rPr>
                <w:color w:val="1B263B"/>
                <w:sz w:val="21"/>
              </w:rPr>
              <w:t>3rd Halving</w:t>
            </w:r>
          </w:p>
        </w:tc>
        <w:tc>
          <w:tcPr>
            <w:tcW w:w="2500" w:type="dxa"/>
            <w:vAlign w:val="center"/>
          </w:tcPr>
          <w:p>
            <w:pPr>
              <w:spacing w:before="0" w:after="0"/>
              <w:jc w:val="left"/>
            </w:pPr>
            <w:r>
              <w:rPr>
                <w:color w:val="1B263B"/>
                <w:sz w:val="21"/>
              </w:rPr>
              <w:t>2,520,001 - 3,360,000</w:t>
            </w:r>
          </w:p>
        </w:tc>
        <w:tc>
          <w:tcPr>
            <w:tcW w:w="2500" w:type="dxa"/>
            <w:vAlign w:val="center"/>
          </w:tcPr>
          <w:p>
            <w:pPr>
              <w:spacing w:before="0" w:after="0"/>
              <w:jc w:val="left"/>
            </w:pPr>
            <w:r>
              <w:rPr>
                <w:color w:val="1B263B"/>
                <w:sz w:val="21"/>
              </w:rPr>
              <w:t>6.25 LFC</w:t>
            </w:r>
          </w:p>
        </w:tc>
        <w:tc>
          <w:tcPr>
            <w:tcW w:w="3000" w:type="dxa"/>
            <w:vAlign w:val="center"/>
          </w:tcPr>
          <w:p>
            <w:pPr>
              <w:spacing w:before="0" w:after="0"/>
              <w:jc w:val="left"/>
            </w:pPr>
            <w:r>
              <w:rPr>
                <w:color w:val="1B263B"/>
                <w:sz w:val="21"/>
              </w:rPr>
              <w:t>5,250,000 LFC</w:t>
            </w:r>
          </w:p>
        </w:tc>
      </w:tr>
      <w:tr>
        <w:trPr>
          <w:trHeight w:val="360" w:hRule="atLeast"/>
        </w:trPr>
        <w:tc>
          <w:tcPr>
            <w:tcW w:w="2000" w:type="dxa"/>
            <w:vAlign w:val="center"/>
          </w:tcPr>
          <w:p>
            <w:pPr>
              <w:spacing w:before="0" w:after="0"/>
              <w:jc w:val="left"/>
            </w:pPr>
            <w:r>
              <w:rPr>
                <w:color w:val="1B263B"/>
                <w:sz w:val="21"/>
              </w:rPr>
              <w:t>4th Halving</w:t>
            </w:r>
          </w:p>
        </w:tc>
        <w:tc>
          <w:tcPr>
            <w:tcW w:w="2500" w:type="dxa"/>
            <w:vAlign w:val="center"/>
          </w:tcPr>
          <w:p>
            <w:pPr>
              <w:spacing w:before="0" w:after="0"/>
              <w:jc w:val="left"/>
            </w:pPr>
            <w:r>
              <w:rPr>
                <w:color w:val="1B263B"/>
                <w:sz w:val="21"/>
              </w:rPr>
              <w:t>3,360,001 - 4,200,000</w:t>
            </w:r>
          </w:p>
        </w:tc>
        <w:tc>
          <w:tcPr>
            <w:tcW w:w="2500" w:type="dxa"/>
            <w:vAlign w:val="center"/>
          </w:tcPr>
          <w:p>
            <w:pPr>
              <w:spacing w:before="0" w:after="0"/>
              <w:jc w:val="left"/>
            </w:pPr>
            <w:r>
              <w:rPr>
                <w:color w:val="1B263B"/>
                <w:sz w:val="21"/>
              </w:rPr>
              <w:t>3.125 LFC</w:t>
            </w:r>
          </w:p>
        </w:tc>
        <w:tc>
          <w:tcPr>
            <w:tcW w:w="3000" w:type="dxa"/>
            <w:vAlign w:val="center"/>
          </w:tcPr>
          <w:p>
            <w:pPr>
              <w:spacing w:before="0" w:after="0"/>
              <w:jc w:val="left"/>
            </w:pPr>
            <w:r>
              <w:rPr>
                <w:color w:val="1B263B"/>
                <w:sz w:val="21"/>
              </w:rPr>
              <w:t>2,625,000 LFC</w:t>
            </w:r>
          </w:p>
        </w:tc>
      </w:tr>
    </w:tbl>
    <w:p>
      <w:pPr>
        <w:pStyle w:val="Caption"/>
      </w:pPr>
      <w:r>
        <w:t>Table 3: Halving Schedule</w:t>
      </w:r>
    </w:p>
    <w:p>
      <w:pPr>
        <w:pStyle w:val="Heading1"/>
      </w:pPr>
      <w:bookmarkStart w:name="_Toc005" w:id="005"/>
      <w:r>
        <w:t>Use Cases</w:t>
      </w:r>
      <w:bookmarkEnd w:id="005"/>
    </w:p>
    <w:p>
      <w:pPr>
        <w:pStyle w:val="Heading2"/>
      </w:pPr>
      <w:r>
        <w:t>Global Remittances</w:t>
      </w:r>
    </w:p>
    <w:p>
      <w:r>
        <w:t>LifeCoin enables fast, low-cost international money transfers. With 1-minute block times and minimal transaction fees, sending money across borders becomes practical and affordable for everyone.</w:t>
      </w:r>
    </w:p>
    <w:p>
      <w:pPr>
        <w:pStyle w:val="Heading2"/>
      </w:pPr>
      <w:r>
        <w:t>Peer-to-Peer Payments</w:t>
      </w:r>
    </w:p>
    <w:p>
      <w:r>
        <w:t>Whether splitting a bill, paying for services, or sending money to friends and family, LifeCoin provides a decentralized alternative to traditional payment systems without intermediaries or excessive fees.</w:t>
      </w:r>
    </w:p>
    <w:p>
      <w:pPr>
        <w:pStyle w:val="Heading2"/>
      </w:pPr>
      <w:r>
        <w:t>Gaming (LifeVerse RP)</w:t>
      </w:r>
    </w:p>
    <w:p>
      <w:r>
        <w:t>LifeCoin serves as the native currency within the LifeVerse RP gaming ecosystem. Players can earn LFC through gameplay, purchase in-game items, trade assets, and convert their virtual achievements into real value.</w:t>
      </w:r>
    </w:p>
    <w:p>
      <w:pPr>
        <w:pStyle w:val="Heading3"/>
      </w:pPr>
      <w:r>
        <w:t>Gaming Utilities</w:t>
      </w:r>
    </w:p>
    <w:p>
      <w:pPr>
        <w:numPr>
          <w:ilvl w:val="0"/>
          <w:numId w:val="2"/>
        </w:numPr>
      </w:pPr>
      <w:r>
        <w:t>In-game purchases and marketplace transactions</w:t>
      </w:r>
    </w:p>
    <w:p>
      <w:pPr>
        <w:numPr>
          <w:ilvl w:val="0"/>
          <w:numId w:val="2"/>
        </w:numPr>
      </w:pPr>
      <w:r>
        <w:t>Player-to-player trading</w:t>
      </w:r>
    </w:p>
    <w:p>
      <w:pPr>
        <w:numPr>
          <w:ilvl w:val="0"/>
          <w:numId w:val="2"/>
        </w:numPr>
      </w:pPr>
      <w:r>
        <w:t>Tournament prizes and rewards</w:t>
      </w:r>
    </w:p>
    <w:p>
      <w:pPr>
        <w:numPr>
          <w:ilvl w:val="0"/>
          <w:numId w:val="2"/>
        </w:numPr>
      </w:pPr>
      <w:r>
        <w:t>Staking for exclusive gaming benefits</w:t>
      </w:r>
    </w:p>
    <w:p>
      <w:pPr>
        <w:pStyle w:val="Heading2"/>
      </w:pPr>
      <w:r>
        <w:t>Future DeFi Ecosystem</w:t>
      </w:r>
    </w:p>
    <w:p>
      <w:r>
        <w:t>LifeCoin is designed to support future decentralized finance applications, including lending, borrowing, yield farming, and decentralized exchanges. Our independent blockchain provides the flexibility needed for DeFi innovation.</w:t>
      </w:r>
    </w:p>
    <w:p>
      <w:pPr>
        <w:pStyle w:val="Heading1"/>
      </w:pPr>
      <w:bookmarkStart w:name="_Toc006" w:id="006"/>
      <w:r>
        <w:t>Ecosystem Integration</w:t>
      </w:r>
      <w:bookmarkEnd w:id="006"/>
    </w:p>
    <w:p>
      <w:pPr>
        <w:pStyle w:val="Heading2"/>
      </w:pPr>
      <w:r>
        <w:t>LifeVerse Technologies</w:t>
      </w:r>
    </w:p>
    <w:p>
      <w:r>
        <w:t>LifeCoin is the foundational currency of the LifeVerse Technologies ecosystem, connecting gaming, fashion, and finance in a unified digital economy.</w:t>
      </w:r>
    </w:p>
    <w:p>
      <w:pPr>
        <w:pStyle w:val="Heading3"/>
      </w:pPr>
      <w:r>
        <w:t>Integration Points</w:t>
      </w:r>
    </w:p>
    <w:p>
      <w:pPr>
        <w:numPr>
          <w:ilvl w:val="0"/>
          <w:numId w:val="2"/>
        </w:numPr>
      </w:pPr>
      <w:r>
        <w:t>LifeVerse RP - Gaming currency and rewards</w:t>
      </w:r>
    </w:p>
    <w:p>
      <w:pPr>
        <w:numPr>
          <w:ilvl w:val="0"/>
          <w:numId w:val="2"/>
        </w:numPr>
      </w:pPr>
      <w:r>
        <w:t>Lifetime Clothing - Payment method for apparel</w:t>
      </w:r>
    </w:p>
    <w:p>
      <w:pPr>
        <w:numPr>
          <w:ilvl w:val="0"/>
          <w:numId w:val="2"/>
        </w:numPr>
      </w:pPr>
      <w:r>
        <w:t>Future DeFi protocols - Collateral and liquidity</w:t>
      </w:r>
    </w:p>
    <w:p>
      <w:pPr>
        <w:numPr>
          <w:ilvl w:val="0"/>
          <w:numId w:val="2"/>
        </w:numPr>
      </w:pPr>
      <w:r>
        <w:t>Community governance - Voting rights for holders</w:t>
      </w:r>
    </w:p>
    <w:p>
      <w:pPr>
        <w:pStyle w:val="Heading2"/>
      </w:pPr>
      <w:r>
        <w:t>Wallet Ecosystem</w:t>
      </w:r>
    </w:p>
    <w:p>
      <w:r>
        <w:t>LifeCoin supports multiple wallet options to ensure accessibility for all users:</w:t>
      </w:r>
    </w:p>
    <w:p>
      <w:pPr>
        <w:numPr>
          <w:ilvl w:val="0"/>
          <w:numId w:val="2"/>
        </w:numPr>
      </w:pPr>
      <w:r>
        <w:t>Official LifeCoin Core Wallet (Desktop)</w:t>
      </w:r>
    </w:p>
    <w:p>
      <w:pPr>
        <w:numPr>
          <w:ilvl w:val="0"/>
          <w:numId w:val="2"/>
        </w:numPr>
      </w:pPr>
      <w:r>
        <w:t>Mobile wallets (iOS and Android)</w:t>
      </w:r>
    </w:p>
    <w:p>
      <w:pPr>
        <w:numPr>
          <w:ilvl w:val="0"/>
          <w:numId w:val="2"/>
        </w:numPr>
      </w:pPr>
      <w:r>
        <w:t>Web wallet for convenience</w:t>
      </w:r>
    </w:p>
    <w:p>
      <w:pPr>
        <w:numPr>
          <w:ilvl w:val="0"/>
          <w:numId w:val="2"/>
        </w:numPr>
      </w:pPr>
      <w:r>
        <w:t>Hardware wallet compatibility</w:t>
      </w:r>
    </w:p>
    <w:p>
      <w:pPr>
        <w:numPr>
          <w:ilvl w:val="0"/>
          <w:numId w:val="2"/>
        </w:numPr>
      </w:pPr>
      <w:r>
        <w:t>Paper wallet generator for cold storage</w:t>
      </w:r>
    </w:p>
    <w:p>
      <w:pPr>
        <w:pStyle w:val="Heading1"/>
      </w:pPr>
      <w:bookmarkStart w:name="_Toc007" w:id="007"/>
      <w:r>
        <w:t>Roadmap</w:t>
      </w:r>
      <w:bookmarkEnd w:id="007"/>
    </w:p>
    <w:p>
      <w:pPr>
        <w:pStyle w:val="Heading2"/>
      </w:pPr>
      <w:r>
        <w:t>2026 Milestones</w:t>
      </w:r>
    </w:p>
    <w:p>
      <w:pPr>
        <w:pStyle w:val="Heading3"/>
      </w:pPr>
      <w:r>
        <w:t>Q1: Foundation</w:t>
      </w:r>
    </w:p>
    <w:p>
      <w:pPr>
        <w:numPr>
          <w:ilvl w:val="0"/>
          <w:numId w:val="2"/>
        </w:numPr>
      </w:pPr>
      <w:r>
        <w:t>Testnet launch and public testing</w:t>
      </w:r>
    </w:p>
    <w:p>
      <w:pPr>
        <w:numPr>
          <w:ilvl w:val="0"/>
          <w:numId w:val="2"/>
        </w:numPr>
      </w:pPr>
      <w:r>
        <w:t>Mining pool partnerships</w:t>
      </w:r>
    </w:p>
    <w:p>
      <w:pPr>
        <w:numPr>
          <w:ilvl w:val="0"/>
          <w:numId w:val="2"/>
        </w:numPr>
      </w:pPr>
      <w:r>
        <w:t>Wallet development and testing</w:t>
      </w:r>
    </w:p>
    <w:p>
      <w:pPr>
        <w:numPr>
          <w:ilvl w:val="0"/>
          <w:numId w:val="2"/>
        </w:numPr>
      </w:pPr>
      <w:r>
        <w:t>Community building initiatives</w:t>
      </w:r>
    </w:p>
    <w:p>
      <w:pPr>
        <w:pStyle w:val="Heading3"/>
      </w:pPr>
      <w:r>
        <w:t>Q2: Mainnet Launch</w:t>
      </w:r>
    </w:p>
    <w:p>
      <w:pPr>
        <w:numPr>
          <w:ilvl w:val="0"/>
          <w:numId w:val="2"/>
        </w:numPr>
      </w:pPr>
      <w:r>
        <w:t>Mainnet activation</w:t>
      </w:r>
    </w:p>
    <w:p>
      <w:pPr>
        <w:numPr>
          <w:ilvl w:val="0"/>
          <w:numId w:val="2"/>
        </w:numPr>
      </w:pPr>
      <w:r>
        <w:t>Exchange listings (DEX first)</w:t>
      </w:r>
    </w:p>
    <w:p>
      <w:pPr>
        <w:numPr>
          <w:ilvl w:val="0"/>
          <w:numId w:val="2"/>
        </w:numPr>
      </w:pPr>
      <w:r>
        <w:t>Official wallet releases</w:t>
      </w:r>
    </w:p>
    <w:p>
      <w:pPr>
        <w:numPr>
          <w:ilvl w:val="0"/>
          <w:numId w:val="2"/>
        </w:numPr>
      </w:pPr>
      <w:r>
        <w:t>Block explorer launch</w:t>
      </w:r>
    </w:p>
    <w:p>
      <w:pPr>
        <w:pStyle w:val="Heading3"/>
      </w:pPr>
      <w:r>
        <w:t>Q3: Ecosystem Integration</w:t>
      </w:r>
    </w:p>
    <w:p>
      <w:pPr>
        <w:numPr>
          <w:ilvl w:val="0"/>
          <w:numId w:val="2"/>
        </w:numPr>
      </w:pPr>
      <w:r>
        <w:t>LifeVerse RP integration</w:t>
      </w:r>
    </w:p>
    <w:p>
      <w:pPr>
        <w:numPr>
          <w:ilvl w:val="0"/>
          <w:numId w:val="2"/>
        </w:numPr>
      </w:pPr>
      <w:r>
        <w:t>Lifetime Clothing payment support</w:t>
      </w:r>
    </w:p>
    <w:p>
      <w:pPr>
        <w:numPr>
          <w:ilvl w:val="0"/>
          <w:numId w:val="2"/>
        </w:numPr>
      </w:pPr>
      <w:r>
        <w:t>Merchant adoption program</w:t>
      </w:r>
    </w:p>
    <w:p>
      <w:pPr>
        <w:numPr>
          <w:ilvl w:val="0"/>
          <w:numId w:val="2"/>
        </w:numPr>
      </w:pPr>
      <w:r>
        <w:t>Mobile wallet optimization</w:t>
      </w:r>
    </w:p>
    <w:p>
      <w:pPr>
        <w:pStyle w:val="Heading3"/>
      </w:pPr>
      <w:r>
        <w:t>Q4: Expansion</w:t>
      </w:r>
    </w:p>
    <w:p>
      <w:pPr>
        <w:numPr>
          <w:ilvl w:val="0"/>
          <w:numId w:val="2"/>
        </w:numPr>
      </w:pPr>
      <w:r>
        <w:t>CEX listings</w:t>
      </w:r>
    </w:p>
    <w:p>
      <w:pPr>
        <w:numPr>
          <w:ilvl w:val="0"/>
          <w:numId w:val="2"/>
        </w:numPr>
      </w:pPr>
      <w:r>
        <w:t>International marketing</w:t>
      </w:r>
    </w:p>
    <w:p>
      <w:pPr>
        <w:numPr>
          <w:ilvl w:val="0"/>
          <w:numId w:val="2"/>
        </w:numPr>
      </w:pPr>
      <w:r>
        <w:t>Developer grant program</w:t>
      </w:r>
    </w:p>
    <w:p>
      <w:pPr>
        <w:numPr>
          <w:ilvl w:val="0"/>
          <w:numId w:val="2"/>
        </w:numPr>
      </w:pPr>
      <w:r>
        <w:t>Partnership announcements</w:t>
      </w:r>
    </w:p>
    <w:p>
      <w:pPr>
        <w:pStyle w:val="Heading2"/>
      </w:pPr>
      <w:r>
        <w:t>2027+ Vision</w:t>
      </w:r>
    </w:p>
    <w:p>
      <w:pPr>
        <w:numPr>
          <w:ilvl w:val="0"/>
          <w:numId w:val="2"/>
        </w:numPr>
      </w:pPr>
      <w:r>
        <w:t>DeFi protocol development</w:t>
      </w:r>
    </w:p>
    <w:p>
      <w:pPr>
        <w:numPr>
          <w:ilvl w:val="0"/>
          <w:numId w:val="2"/>
        </w:numPr>
      </w:pPr>
      <w:r>
        <w:t>Cross-chain bridge implementation</w:t>
      </w:r>
    </w:p>
    <w:p>
      <w:pPr>
        <w:numPr>
          <w:ilvl w:val="0"/>
          <w:numId w:val="2"/>
        </w:numPr>
      </w:pPr>
      <w:r>
        <w:t>Lightning Network integration</w:t>
      </w:r>
    </w:p>
    <w:p>
      <w:pPr>
        <w:numPr>
          <w:ilvl w:val="0"/>
          <w:numId w:val="2"/>
        </w:numPr>
      </w:pPr>
      <w:r>
        <w:t>Global merchant adoption</w:t>
      </w:r>
    </w:p>
    <w:p>
      <w:pPr>
        <w:numPr>
          <w:ilvl w:val="0"/>
          <w:numId w:val="2"/>
        </w:numPr>
      </w:pPr>
      <w:r>
        <w:t>Institutional partnerships</w:t>
      </w:r>
    </w:p>
    <w:p>
      <w:pPr>
        <w:pStyle w:val="Heading1"/>
      </w:pPr>
      <w:bookmarkStart w:name="_Toc008" w:id="008"/>
      <w:r>
        <w:t>Team</w:t>
      </w:r>
      <w:bookmarkEnd w:id="008"/>
    </w:p>
    <w:p>
      <w:r>
        <w:t>LifeCoin is developed by LifeVerse Technologies Ltd, a team of blockchain developers, cryptographers, and industry veterans committed to creating fair and accessible cryptocurrency.</w:t>
      </w:r>
    </w:p>
    <w:p>
      <w:pPr>
        <w:pStyle w:val="Heading2"/>
      </w:pPr>
      <w:r>
        <w:t>Leadership</w:t>
      </w:r>
    </w:p>
    <w:p>
      <w:pPr>
        <w:numPr>
          <w:ilvl w:val="0"/>
          <w:numId w:val="2"/>
        </w:numPr>
      </w:pPr>
      <w:r>
        <w:t>Fortune Godson - Founder &amp; Project Lead</w:t>
      </w:r>
    </w:p>
    <w:p>
      <w:pPr>
        <w:pStyle w:val="Heading2"/>
      </w:pPr>
      <w:r>
        <w:t>Development Team</w:t>
      </w:r>
    </w:p>
    <w:p>
      <w:pPr>
        <w:numPr>
          <w:ilvl w:val="0"/>
          <w:numId w:val="2"/>
        </w:numPr>
      </w:pPr>
      <w:r>
        <w:t>Core Blockchain Developers</w:t>
      </w:r>
    </w:p>
    <w:p>
      <w:pPr>
        <w:numPr>
          <w:ilvl w:val="0"/>
          <w:numId w:val="2"/>
        </w:numPr>
      </w:pPr>
      <w:r>
        <w:t>Security Specialists</w:t>
      </w:r>
    </w:p>
    <w:p>
      <w:pPr>
        <w:numPr>
          <w:ilvl w:val="0"/>
          <w:numId w:val="2"/>
        </w:numPr>
      </w:pPr>
      <w:r>
        <w:t>Wallet Development Team</w:t>
      </w:r>
    </w:p>
    <w:p>
      <w:pPr>
        <w:numPr>
          <w:ilvl w:val="0"/>
          <w:numId w:val="2"/>
        </w:numPr>
      </w:pPr>
      <w:r>
        <w:t>Community Managers</w:t>
      </w:r>
    </w:p>
    <w:p>
      <w:pPr>
        <w:pStyle w:val="Heading1"/>
      </w:pPr>
      <w:bookmarkStart w:name="_Toc009" w:id="009"/>
      <w:r>
        <w:t>Legal &amp; Compliance</w:t>
      </w:r>
      <w:bookmarkEnd w:id="009"/>
    </w:p>
    <w:p>
      <w:pPr>
        <w:pStyle w:val="Heading2"/>
      </w:pPr>
      <w:r>
        <w:t>Regulatory Framework</w:t>
      </w:r>
    </w:p>
    <w:p>
      <w:r>
        <w:t>LifeVerse Technologies Ltd is committed to operating within legal frameworks across all jurisdictions. We work with legal experts to ensure compliance with applicable regulations.</w:t>
      </w:r>
    </w:p>
    <w:p>
      <w:pPr>
        <w:pStyle w:val="Heading2"/>
      </w:pPr>
      <w:r>
        <w:t>Compliance Measures</w:t>
      </w:r>
    </w:p>
    <w:p>
      <w:pPr>
        <w:numPr>
          <w:ilvl w:val="0"/>
          <w:numId w:val="2"/>
        </w:numPr>
      </w:pPr>
      <w:r>
        <w:t>Company registration in Nigeria (CAC Licensed)</w:t>
      </w:r>
    </w:p>
    <w:p>
      <w:pPr>
        <w:numPr>
          <w:ilvl w:val="0"/>
          <w:numId w:val="2"/>
        </w:numPr>
      </w:pPr>
      <w:r>
        <w:t>Transparent tokenomics with no hidden allocations</w:t>
      </w:r>
    </w:p>
    <w:p>
      <w:pPr>
        <w:numPr>
          <w:ilvl w:val="0"/>
          <w:numId w:val="2"/>
        </w:numPr>
      </w:pPr>
      <w:r>
        <w:t>Regular security audits</w:t>
      </w:r>
    </w:p>
    <w:p>
      <w:pPr>
        <w:numPr>
          <w:ilvl w:val="0"/>
          <w:numId w:val="2"/>
        </w:numPr>
      </w:pPr>
      <w:r>
        <w:t>Clear terms of service</w:t>
      </w:r>
    </w:p>
    <w:p>
      <w:pPr>
        <w:numPr>
          <w:ilvl w:val="0"/>
          <w:numId w:val="2"/>
        </w:numPr>
      </w:pPr>
      <w:r>
        <w:t>Privacy-focused design</w:t>
      </w:r>
    </w:p>
    <w:p>
      <w:pPr>
        <w:pStyle w:val="Heading1"/>
      </w:pPr>
      <w:bookmarkStart w:name="_Toc010" w:id="010"/>
      <w:r>
        <w:t>Risk Factors</w:t>
      </w:r>
      <w:bookmarkEnd w:id="010"/>
    </w:p>
    <w:p>
      <w:r>
        <w:t>Potential participants should be aware of the following risks associated with LifeCoin:</w:t>
      </w:r>
    </w:p>
    <w:p>
      <w:pPr>
        <w:pStyle w:val="Heading2"/>
      </w:pPr>
      <w:r>
        <w:t>Market Risks</w:t>
      </w:r>
    </w:p>
    <w:p>
      <w:pPr>
        <w:numPr>
          <w:ilvl w:val="0"/>
          <w:numId w:val="2"/>
        </w:numPr>
      </w:pPr>
      <w:r>
        <w:t>Cryptocurrency market volatility may affect token value</w:t>
      </w:r>
    </w:p>
    <w:p>
      <w:pPr>
        <w:numPr>
          <w:ilvl w:val="0"/>
          <w:numId w:val="2"/>
        </w:numPr>
      </w:pPr>
      <w:r>
        <w:t>Competition from established cryptocurrencies</w:t>
      </w:r>
    </w:p>
    <w:p>
      <w:pPr>
        <w:numPr>
          <w:ilvl w:val="0"/>
          <w:numId w:val="2"/>
        </w:numPr>
      </w:pPr>
      <w:r>
        <w:t>Regulatory changes may impact availability</w:t>
      </w:r>
    </w:p>
    <w:p>
      <w:pPr>
        <w:pStyle w:val="Heading2"/>
      </w:pPr>
      <w:r>
        <w:t>Technical Risks</w:t>
      </w:r>
    </w:p>
    <w:p>
      <w:pPr>
        <w:numPr>
          <w:ilvl w:val="0"/>
          <w:numId w:val="2"/>
        </w:numPr>
      </w:pPr>
      <w:r>
        <w:t>Blockchain vulnerabilities despite security measures</w:t>
      </w:r>
    </w:p>
    <w:p>
      <w:pPr>
        <w:numPr>
          <w:ilvl w:val="0"/>
          <w:numId w:val="2"/>
        </w:numPr>
      </w:pPr>
      <w:r>
        <w:t>Network attacks targeting smaller blockchains</w:t>
      </w:r>
    </w:p>
    <w:p>
      <w:pPr>
        <w:numPr>
          <w:ilvl w:val="0"/>
          <w:numId w:val="2"/>
        </w:numPr>
      </w:pPr>
      <w:r>
        <w:t>Software bugs in wallet or node software</w:t>
      </w:r>
    </w:p>
    <w:p>
      <w:pPr>
        <w:pStyle w:val="Heading2"/>
      </w:pPr>
      <w:r>
        <w:t>Operational Risks</w:t>
      </w:r>
    </w:p>
    <w:p>
      <w:pPr>
        <w:numPr>
          <w:ilvl w:val="0"/>
          <w:numId w:val="2"/>
        </w:numPr>
      </w:pPr>
      <w:r>
        <w:t>Development timeline delays</w:t>
      </w:r>
    </w:p>
    <w:p>
      <w:pPr>
        <w:numPr>
          <w:ilvl w:val="0"/>
          <w:numId w:val="2"/>
        </w:numPr>
      </w:pPr>
      <w:r>
        <w:t>Exchange listing challenges</w:t>
      </w:r>
    </w:p>
    <w:p>
      <w:pPr>
        <w:numPr>
          <w:ilvl w:val="0"/>
          <w:numId w:val="2"/>
        </w:numPr>
      </w:pPr>
      <w:r>
        <w:t>Adoption rate uncertainties</w:t>
      </w:r>
    </w:p>
    <w:p>
      <w:pPr>
        <w:pStyle w:val="Heading1"/>
      </w:pPr>
      <w:bookmarkStart w:name="_Toc011" w:id="011"/>
      <w:r>
        <w:t>Conclusion</w:t>
      </w:r>
      <w:bookmarkEnd w:id="011"/>
    </w:p>
    <w:p>
      <w:r>
        <w:t>LifeCoin represents a return to the fundamental principles of cryptocurrency: decentralization, fairness, and accessibility. By combining proven technology with a truly fair distribution model, we aim to create a digital currency that serves the people, not special interests.</w:t>
      </w:r>
    </w:p>
    <w:p>
      <w:r>
        <w:t>Our commitment to zero premine, 100% mining distribution, and ecosystem utility sets LifeCoin apart in a landscape often dominated by speculation and centralization. We invite you to join us in building a cryptocurrency that truly belongs to the people.</w:t>
      </w:r>
    </w:p>
    <w:p>
      <w:pPr>
        <w:spacing w:before="400"/>
      </w:pPr>
      <w:r>
        <w:rPr>
          <w:b/>
          <w:i/>
          <w:color w:val="D4AF37"/>
        </w:rPr>
        <w:t>Money Truly Belongs to the People.</w:t>
      </w:r>
    </w:p>
    <w:p>
      <w:pPr>
        <w:spacing w:before="200"/>
      </w:pPr>
      <w:r>
        <w:rPr>
          <w:i/>
          <w:color w:val="5C6B7F"/>
        </w:rPr>
        <w:t>This white paper is for informational purposes only and does not constitute financial advice. Cryptocurrency investments carry significant risks. Please conduct your own research and consult with financial advisors before making investment decisions.</w:t>
      </w:r>
    </w:p>
    <w:p>
      <w:pPr>
        <w:sectPr>
          <w:headerReference w:type="default" r:id="R4dbf7a9f3d804662"/>
          <w:footerReference w:type="default" r:id="R9d12df9c1eab4a1f"/>
          <w:type w:val="nextPage"/>
          <w:pgSz w:w="11906" w:h="16838"/>
          <w:pgMar w:top="1800" w:right="1440" w:bottom="1440" w:left="1440" w:header="720" w:footer="720"/>
        </w:sectPr>
      </w:pPr>
    </w:p>
    <w:p>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7560000" cy="10692000"/>
            <wp:effectExtent l="0" t="0" r="0" b="0"/>
            <wp:wrapNone/>
            <wp:docPr id="3" name="BackcoverBackground"/>
            <wp:cNvGraphicFramePr>
              <a:graphicFrameLocks noChangeAspect="1"/>
            </wp:cNvGraphicFramePr>
            <a:graphic>
              <a:graphicData uri="http://schemas.openxmlformats.org/drawingml/2006/picture">
                <pic:pic>
                  <pic:nvPicPr>
                    <pic:cNvPr id="0" name="BackcoverBackground.png"/>
                    <pic:cNvPicPr/>
                  </pic:nvPicPr>
                  <pic:blipFill>
                    <a:blip r:embed="R3a6f869ced32458a"/>
                    <a:stretch>
                      <a:fillRect/>
                    </a:stretch>
                  </pic:blipFill>
                  <pic:spPr>
                    <a:xfrm>
                      <a:off x="0" y="0"/>
                      <a:ext cx="7560000" cy="10692000"/>
                    </a:xfrm>
                    <a:prstGeom prst="rect"/>
                  </pic:spPr>
                </pic:pic>
              </a:graphicData>
            </a:graphic>
          </wp:anchor>
        </w:drawing>
      </w:r>
    </w:p>
    <w:p>
      <w:pPr>
        <w:spacing w:before="8000"/>
      </w:pPr>
      <w:r/>
    </w:p>
    <w:p>
      <w:pPr>
        <w:spacing w:after="100"/>
        <w:jc w:val="center"/>
      </w:pPr>
      <w:r>
        <w:rPr>
          <w:b/>
          <w:color w:val="D4AF37"/>
          <w:sz w:val="56"/>
        </w:rPr>
        <w:t>LifeCoin</w:t>
      </w:r>
    </w:p>
    <w:p>
      <w:pPr>
        <w:spacing w:after="600"/>
        <w:jc w:val="center"/>
      </w:pPr>
      <w:r>
        <w:rPr>
          <w:i/>
          <w:color w:val="00D4AA"/>
          <w:sz w:val="24"/>
        </w:rPr>
        <w:t>Money Truly Belongs to the People</w:t>
      </w:r>
    </w:p>
    <w:p>
      <w:pPr>
        <w:spacing w:after="120"/>
        <w:jc w:val="center"/>
      </w:pPr>
      <w:r>
        <w:rPr>
          <w:color w:val="AAAAAA"/>
          <w:sz w:val="20"/>
        </w:rPr>
        <w:t>info@lifeverse.com</w:t>
      </w:r>
    </w:p>
    <w:p>
      <w:pPr>
        <w:spacing w:after="400"/>
        <w:jc w:val="center"/>
      </w:pPr>
      <w:r>
        <w:rPr>
          <w:color w:val="888888"/>
          <w:sz w:val="18"/>
        </w:rPr>
        <w:t>Twitter: @LifeCoinLFC | Discord: discord.gg/lifecoin</w:t>
      </w:r>
    </w:p>
    <w:p>
      <w:pPr>
        <w:jc w:val="center"/>
      </w:pPr>
      <w:r>
        <w:rPr>
          <w:color w:val="666666"/>
          <w:sz w:val="16"/>
        </w:rPr>
        <w:t>© 2026 LifeCoin. A LifeVerse Technologies Project.</w:t>
      </w:r>
    </w:p>
    <w:sectPr>
      <w:pgSz w:w="11906" w:h="16838"/>
      <w:pgMar w:top="0" w:right="0" w:bottom="0" w:left="0" w:header="0" w:footer="0"/>
    </w:sectPr>
  </w:body>
</w:document>
</file>

<file path=word/footer1.xml><?xml version="1.0" encoding="utf-8"?>
<w:ftr xmlns:w="http://schemas.openxmlformats.org/wordprocessingml/2006/main">
  <w:p>
    <w:pPr>
      <w:jc w:val="center"/>
    </w:pPr>
    <w:r>
      <w:fldChar w:fldCharType="begin"/>
      <w:instrText xml:space="preserve"> PAGE </w:instrText>
      <w:fldChar w:fldCharType="separate"/>
      <w:t>1</w:t>
      <w:fldChar w:fldCharType="end"/>
    </w:r>
    <w:r>
      <w:t xml:space="preserve"> / </w:t>
    </w:r>
    <w:r>
      <w:fldChar w:fldCharType="begin"/>
      <w:instrText xml:space="preserve"> NUMPAGES </w:instrText>
      <w:fldChar w:fldCharType="separate"/>
      <w:t>1</w:t>
      <w:fldChar w:fldCharType="end"/>
    </w:r>
  </w:p>
</w:ftr>
</file>

<file path=word/header1.xml><?xml version="1.0" encoding="utf-8"?>
<w:hdr xmlns:a="http://schemas.openxmlformats.org/drawingml/2006/main" xmlns:pic="http://schemas.openxmlformats.org/drawingml/2006/picture" xmlns:r="http://schemas.openxmlformats.org/officeDocument/2006/relationships" xmlns:w="http://schemas.openxmlformats.org/wordprocessingml/2006/main" xmlns:wp="http://schemas.openxmlformats.org/drawingml/2006/wordprocessingDrawing">
  <w:p>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7560000" cy="10692000"/>
          <wp:effectExtent l="0" t="0" r="0" b="0"/>
          <wp:wrapNone/>
          <wp:docPr id="2" name="BodyBackground"/>
          <wp:cNvGraphicFramePr>
            <a:graphicFrameLocks noChangeAspect="1"/>
          </wp:cNvGraphicFramePr>
          <a:graphic>
            <a:graphicData uri="http://schemas.openxmlformats.org/drawingml/2006/picture">
              <pic:pic>
                <pic:nvPicPr>
                  <pic:cNvPr id="0" name="BodyBackground.png"/>
                  <pic:cNvPicPr/>
                </pic:nvPicPr>
                <pic:blipFill>
                  <a:blip r:embed="Rea2585dfc9d544b9"/>
                  <a:stretch>
                    <a:fillRect/>
                  </a:stretch>
                </pic:blipFill>
                <pic:spPr>
                  <a:xfrm>
                    <a:off x="0" y="0"/>
                    <a:ext cx="7560000" cy="10692000"/>
                  </a:xfrm>
                  <a:prstGeom prst="rect"/>
                </pic:spPr>
              </pic:pic>
            </a:graphicData>
          </a:graphic>
        </wp:anchor>
      </w:drawing>
    </w:r>
  </w:p>
  <w:p>
    <w:pPr>
      <w:spacing w:before="0" w:after="0"/>
      <w:jc w:val="right"/>
    </w:pPr>
    <w:r>
      <w:rPr>
        <w:color w:val="5C6B7F"/>
        <w:sz w:val="18"/>
      </w:rPr>
      <w:t>LifeCoin (LFC)</w:t>
    </w:r>
    <w:r>
      <w:rPr>
        <w:color w:val="D4AF37"/>
        <w:sz w:val="18"/>
      </w:rPr>
      <w:t xml:space="preserve">  |  </w:t>
    </w:r>
    <w:r>
      <w:rPr>
        <w:color w:val="5C6B7F"/>
        <w:sz w:val="18"/>
      </w:rPr>
      <w:t>Whitepaper v1.0</w:t>
    </w:r>
  </w:p>
</w:hdr>
</file>

<file path=word/numbering.xml><?xml version="1.0" encoding="utf-8"?>
<w:numbering xmlns:w="http://schemas.openxmlformats.org/wordprocessingml/2006/main">
  <w:abstractNum w:abstractNumId="1">
    <w:lvl w:ilvl="0">
      <w:numFmt w:val="decimal"/>
      <w:lvlText w:val="%1."/>
      <w:lvlJc w:val="left"/>
      <w:pPr>
        <w:ind w:left="720" w:hanging="360"/>
      </w:pPr>
    </w:lvl>
  </w:abstractNum>
  <w:abstractNum w:abstractNumId="2">
    <w:lvl w:ilvl="0">
      <w:numFmt w:val="bullet"/>
      <w:lvlText w:val="•"/>
      <w:lvlJc w:val="left"/>
      <w:pPr>
        <w:ind w:left="720" w:hanging="360"/>
      </w:pPr>
    </w:lvl>
  </w:abstractNum>
  <w:num w:numId="1">
    <w:abstractNumId w:val="1"/>
  </w:num>
  <w:num w:numId="2">
    <w:abstractNumId w:val="2"/>
  </w:num>
</w:numbering>
</file>

<file path=word/settings.xml><?xml version="1.0" encoding="utf-8"?>
<w:settings xmlns:w="http://schemas.openxmlformats.org/wordprocessingml/2006/main">
  <w:displayBackgroundShape/>
  <w:updateFields w:val="true"/>
</w:settings>
</file>

<file path=word/styles.xml><?xml version="1.0" encoding="utf-8"?>
<w:styles xmlns:w="http://schemas.openxmlformats.org/wordprocessingml/2006/main">
  <w:style w:type="paragraph" w:styleId="Normal" w:default="true">
    <w:name w:val="Normal"/>
    <w:pPr>
      <w:spacing w:after="200" w:line="312" w:lineRule="auto"/>
    </w:pPr>
    <w:rPr>
      <w:rFonts w:ascii="Calibri" w:hAnsi="Calibri" w:eastAsia="Microsoft YaHei"/>
      <w:color w:val="1B263B"/>
      <w:sz w:val="22"/>
    </w:rPr>
  </w:style>
  <w:style w:type="paragraph" w:styleId="Heading1">
    <w:name w:val="heading 1"/>
    <w:basedOn w:val="Normal"/>
    <w:pPr>
      <w:keepNext/>
      <w:keepLines/>
      <w:pageBreakBefore/>
      <w:spacing w:before="400" w:after="240" w:line="240" w:lineRule="auto"/>
      <w:outlineLvl w:val="0"/>
    </w:pPr>
    <w:rPr>
      <w:b/>
      <w:color w:val="D4AF37"/>
      <w:sz w:val="40"/>
    </w:rPr>
  </w:style>
  <w:style w:type="paragraph" w:styleId="Heading2">
    <w:name w:val="heading 2"/>
    <w:basedOn w:val="Normal"/>
    <w:pPr>
      <w:keepNext/>
      <w:keepLines/>
      <w:spacing w:before="360" w:after="160"/>
      <w:outlineLvl w:val="1"/>
    </w:pPr>
    <w:rPr>
      <w:b/>
      <w:color w:val="1E3A5F"/>
      <w:sz w:val="28"/>
    </w:rPr>
  </w:style>
  <w:style w:type="paragraph" w:styleId="Heading3">
    <w:name w:val="heading 3"/>
    <w:basedOn w:val="Normal"/>
    <w:pPr>
      <w:keepNext/>
      <w:keepLines/>
      <w:spacing w:before="280" w:after="120"/>
      <w:outlineLvl w:val="2"/>
    </w:pPr>
    <w:rPr>
      <w:b/>
      <w:color w:val="1B263B"/>
      <w:sz w:val="24"/>
    </w:rPr>
  </w:style>
  <w:style w:type="paragraph" w:styleId="Caption">
    <w:name w:val="Caption"/>
    <w:basedOn w:val="Normal"/>
    <w:pPr>
      <w:keepLines/>
      <w:spacing w:before="60" w:after="400"/>
      <w:jc w:val="center"/>
    </w:pPr>
    <w:rPr>
      <w:i/>
      <w:color w:val="5C6B7F"/>
      <w:sz w:val="20"/>
    </w:rPr>
  </w:style>
  <w:style w:type="paragraph" w:styleId="TOC1">
    <w:name w:val="toc 1"/>
    <w:basedOn w:val="Normal"/>
    <w:pPr>
      <w:tabs>
        <w:tab w:val="right" w:leader="dot" w:pos="9350"/>
      </w:tabs>
      <w:spacing w:before="200" w:after="60"/>
    </w:pPr>
    <w:rPr>
      <w:b/>
      <w:color w:val="1B263B"/>
    </w:rPr>
  </w:style>
  <w:style w:type="paragraph" w:styleId="TOC2">
    <w:name w:val="toc 2"/>
    <w:basedOn w:val="Normal"/>
    <w:pPr>
      <w:tabs>
        <w:tab w:val="right" w:leader="dot" w:pos="9350"/>
      </w:tabs>
      <w:spacing w:before="60" w:after="60"/>
      <w:ind w:left="360"/>
    </w:pPr>
    <w:rPr>
      <w:color w:val="5C6B7F"/>
    </w:rPr>
  </w:style>
</w:styles>
</file>

<file path=word/_rels/document.xml.rels>&#65279;<?xml version="1.0" encoding="utf-8"?><Relationships xmlns="http://schemas.openxmlformats.org/package/2006/relationships"><Relationship Type="http://schemas.openxmlformats.org/officeDocument/2006/relationships/styles" Target="/word/styles.xml" Id="R9d0d8f9c67c04b3b" /><Relationship Type="http://schemas.openxmlformats.org/officeDocument/2006/relationships/numbering" Target="/word/numbering.xml" Id="R7f42429648944322" /><Relationship Type="http://schemas.openxmlformats.org/officeDocument/2006/relationships/image" Target="/media/image.png" Id="Rbe3891aae0184a1b" /><Relationship Type="http://schemas.openxmlformats.org/officeDocument/2006/relationships/image" Target="/media/image2.png" Id="R8d34a8bb87c745f5" /><Relationship Type="http://schemas.openxmlformats.org/officeDocument/2006/relationships/image" Target="/media/image3.png" Id="R3a6f869ced32458a" /><Relationship Type="http://schemas.openxmlformats.org/officeDocument/2006/relationships/header" Target="/word/header1.xml" Id="R4dbf7a9f3d804662" /><Relationship Type="http://schemas.openxmlformats.org/officeDocument/2006/relationships/footer" Target="/word/footer1.xml" Id="R9d12df9c1eab4a1f" /><Relationship Type="http://schemas.openxmlformats.org/officeDocument/2006/relationships/settings" Target="/word/settings.xml" Id="Rce875ff3b50e4431" /></Relationships>
</file>

<file path=word/_rels/header1.xml.rels>&#65279;<?xml version="1.0" encoding="utf-8"?><Relationships xmlns="http://schemas.openxmlformats.org/package/2006/relationships"><Relationship Type="http://schemas.openxmlformats.org/officeDocument/2006/relationships/image" Target="/media/image4.png" Id="Rea2585dfc9d544b9" /></Relationships>
</file>