
<file path=[Content_Types].xml><?xml version="1.0" encoding="utf-8"?>
<Types xmlns="http://schemas.openxmlformats.org/package/2006/content-types">
  <Default Extension="xml" ContentType="application/vnd.openxmlformats-officedocument.wordprocessingml.document.main+xml"/>
  <Default Extension="png" ContentType="image/png"/>
  <Default Extension="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Override PartName="/word/header1.xml" ContentType="application/vnd.openxmlformats-officedocument.wordprocessingml.header+xml"/>
  <Override PartName="/word/footer1.xml" ContentType="application/vnd.openxmlformats-officedocument.wordprocessingml.footer+xml"/>
  <Override PartName="/word/settings.xml" ContentType="application/vnd.openxmlformats-officedocument.wordprocessingml.settings+xml"/>
</Types>
</file>

<file path=_rels/.rels>&#65279;<?xml version="1.0" encoding="utf-8"?><Relationships xmlns="http://schemas.openxmlformats.org/package/2006/relationships"><Relationship Type="http://schemas.openxmlformats.org/officeDocument/2006/relationships/officeDocument" Target="/word/document.xml" Id="R2dc458b885cf4a89" /></Relationships>
</file>

<file path=word/document.xml><?xml version="1.0" encoding="utf-8"?>
<w:document xmlns:a="http://schemas.openxmlformats.org/drawingml/2006/main" xmlns:pic="http://schemas.openxmlformats.org/drawingml/2006/picture" xmlns:r="http://schemas.openxmlformats.org/officeDocument/2006/relationships" xmlns:w="http://schemas.openxmlformats.org/wordprocessingml/2006/main" xmlns:wp="http://schemas.openxmlformats.org/drawingml/2006/wordprocessingDrawing">
  <w:body>
    <w:p>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7560000" cy="10692000"/>
            <wp:effectExtent l="0" t="0" r="0" b="0"/>
            <wp:wrapNone/>
            <wp:docPr id="1" name="CoverBackground"/>
            <wp:cNvGraphicFramePr>
              <a:graphicFrameLocks noChangeAspect="1"/>
            </wp:cNvGraphicFramePr>
            <a:graphic>
              <a:graphicData uri="http://schemas.openxmlformats.org/drawingml/2006/picture">
                <pic:pic>
                  <pic:nvPicPr>
                    <pic:cNvPr id="0" name="CoverBackground.png"/>
                    <pic:cNvPicPr/>
                  </pic:nvPicPr>
                  <pic:blipFill>
                    <a:blip r:embed="Rdd936cafc0874481"/>
                    <a:stretch>
                      <a:fillRect/>
                    </a:stretch>
                  </pic:blipFill>
                  <pic:spPr>
                    <a:xfrm>
                      <a:off x="0" y="0"/>
                      <a:ext cx="7560000" cy="10692000"/>
                    </a:xfrm>
                    <a:prstGeom prst="rect"/>
                  </pic:spPr>
                </pic:pic>
              </a:graphicData>
            </a:graphic>
          </wp:anchor>
        </w:drawing>
      </w:r>
    </w:p>
    <w:p>
      <w:pPr>
        <w:spacing w:before="4500"/>
      </w:pPr>
      <w:r/>
    </w:p>
    <w:p>
      <w:pPr>
        <w:spacing w:after="200"/>
        <w:ind w:left="1200" w:right="1200"/>
        <w:jc w:val="left"/>
      </w:pPr>
      <w:r>
        <w:rPr>
          <w:b/>
          <w:color w:val="FFFFFF"/>
          <w:sz w:val="72"/>
        </w:rPr>
        <w:t>LifeVerse</w:t>
      </w:r>
    </w:p>
    <w:p>
      <w:pPr>
        <w:spacing w:after="600"/>
        <w:ind w:left="1200" w:right="1200"/>
        <w:jc w:val="left"/>
      </w:pPr>
      <w:r>
        <w:rPr>
          <w:color w:val="D4AF37"/>
          <w:sz w:val="48"/>
        </w:rPr>
        <w:t>Technologies Ltd</w:t>
      </w:r>
    </w:p>
    <w:p>
      <w:pPr>
        <w:spacing w:after="3000"/>
        <w:ind w:left="1200" w:right="1200"/>
        <w:jc w:val="left"/>
      </w:pPr>
      <w:r>
        <w:rPr>
          <w:color w:val="CCCCCC"/>
          <w:spacing w:val="30"/>
          <w:sz w:val="28"/>
        </w:rPr>
        <w:t>Company Profile</w:t>
      </w:r>
    </w:p>
    <w:p>
      <w:pPr>
        <w:spacing w:after="120"/>
        <w:ind w:left="1200"/>
        <w:jc w:val="left"/>
      </w:pPr>
      <w:r>
        <w:rPr>
          <w:color w:val="AAAAAA"/>
          <w:sz w:val="22"/>
        </w:rPr>
        <w:t>Anambra State, Nigeria</w:t>
      </w:r>
    </w:p>
    <w:p>
      <w:pPr>
        <w:ind w:left="1200"/>
        <w:jc w:val="left"/>
      </w:pPr>
      <w:r>
        <w:rPr>
          <w:color w:val="888888"/>
          <w:sz w:val="20"/>
        </w:rPr>
        <w:t>March 2026</w:t>
      </w:r>
    </w:p>
    <w:p>
      <w:pPr>
        <w:sectPr>
          <w:type w:val="nextPage"/>
          <w:pgSz w:w="11906" w:h="16838"/>
          <w:pgMar w:top="0" w:right="0" w:bottom="0" w:left="0" w:header="0" w:footer="0"/>
        </w:sectPr>
      </w:pPr>
    </w:p>
    <w:p>
      <w:pPr>
        <w:pStyle w:val="Heading1"/>
      </w:pPr>
      <w:bookmarkStart w:name="_Toc001" w:id="001"/>
      <w:r>
        <w:t>Company Overview</w:t>
      </w:r>
      <w:bookmarkEnd w:id="001"/>
    </w:p>
    <w:p>
      <w:r>
        <w:t>LifeVerse Technologies Ltd is a digital innovation company founded by Fortune Godson, based in Anambra State, Nigeria. The company focuses on building a unified ecosystem that combines gaming, cryptocurrency, and lifestyle branding.</w:t>
      </w:r>
    </w:p>
    <w:p>
      <w:r>
        <w:t>Registered under FVA70K SERVICES (CAC Licensed), LifeVerse Technologies is positioned to become a global leader in metaverse gaming, decentralized finance, and digital lifestyle branding.</w:t>
      </w:r>
    </w:p>
    <w:p>
      <w:pPr>
        <w:pStyle w:val="Heading1"/>
      </w:pPr>
      <w:bookmarkStart w:name="_Toc002" w:id="002"/>
      <w:r>
        <w:t>Founder</w:t>
      </w:r>
      <w:bookmarkEnd w:id="002"/>
    </w:p>
    <w:p>
      <w:pPr>
        <w:pStyle w:val="Heading2"/>
      </w:pPr>
      <w:r>
        <w:t>Fortune Godson</w:t>
      </w:r>
    </w:p>
    <w:p>
      <w:r>
        <w:t>Fortune Godson is the visionary founder and owner of LifeVerse Technologies Ltd. Based in Anambra State, Nigeria, he leads the company's strategic direction and drives innovation across all product lines.</w:t>
      </w:r>
    </w:p>
    <w:tbl>
      <w:tblPr>
        <w:tblW w:w="5000" w:type="pct"/>
        <w:tblBorders>
          <w:top w:val="single" w:color="1E3A5F" w:sz="12"/>
          <w:left w:val="nil"/>
          <w:bottom w:val="single" w:color="1E3A5F" w:sz="12"/>
          <w:right w:val="nil"/>
          <w:insideH w:val="nil"/>
          <w:insideV w:val="nil"/>
        </w:tblBorders>
        <w:tblCellMar>
          <w:top w:w="120" w:type="dxa"/>
          <w:left w:w="150" w:type="dxa"/>
          <w:bottom w:w="120" w:type="dxa"/>
          <w:right w:w="150" w:type="dxa"/>
        </w:tblCellMar>
      </w:tblPr>
      <w:tblGrid>
        <w:gridCol w:w="3500"/>
        <w:gridCol w:w="6500"/>
      </w:tblGrid>
      <w:tr>
        <w:trPr>
          <w:trHeight w:val="360" w:hRule="atLeast"/>
        </w:trPr>
        <w:tc>
          <w:tcPr>
            <w:tcW w:w="3500" w:type="dxa"/>
            <w:tcBorders>
              <w:bottom w:val="single" w:color="1E3A5F" w:sz="6"/>
            </w:tcBorders>
            <w:shd w:val="clear" w:fill="E8EEF4"/>
            <w:vAlign w:val="center"/>
          </w:tcPr>
          <w:p>
            <w:pPr>
              <w:spacing w:before="0" w:after="0"/>
              <w:jc w:val="left"/>
            </w:pPr>
            <w:r>
              <w:rPr>
                <w:b/>
                <w:color w:val="2C3E50"/>
                <w:sz w:val="21"/>
              </w:rPr>
              <w:t>Name</w:t>
            </w:r>
          </w:p>
        </w:tc>
        <w:tc>
          <w:tcPr>
            <w:tcW w:w="6500" w:type="dxa"/>
            <w:tcBorders>
              <w:bottom w:val="single" w:color="1E3A5F" w:sz="6"/>
            </w:tcBorders>
            <w:shd w:val="clear" w:fill="E8EEF4"/>
            <w:vAlign w:val="center"/>
          </w:tcPr>
          <w:p>
            <w:pPr>
              <w:spacing w:before="0" w:after="0"/>
              <w:jc w:val="left"/>
            </w:pPr>
            <w:r>
              <w:rPr>
                <w:b/>
                <w:color w:val="2C3E50"/>
                <w:sz w:val="21"/>
              </w:rPr>
              <w:t>Fortune Godson</w:t>
            </w:r>
          </w:p>
        </w:tc>
      </w:tr>
      <w:tr>
        <w:trPr>
          <w:trHeight w:val="360" w:hRule="atLeast"/>
        </w:trPr>
        <w:tc>
          <w:tcPr>
            <w:tcW w:w="3500" w:type="dxa"/>
            <w:vAlign w:val="center"/>
          </w:tcPr>
          <w:p>
            <w:pPr>
              <w:spacing w:before="0" w:after="0"/>
              <w:jc w:val="left"/>
            </w:pPr>
            <w:r>
              <w:rPr>
                <w:b/>
                <w:color w:val="2C3E50"/>
                <w:sz w:val="21"/>
              </w:rPr>
              <w:t>Title</w:t>
            </w:r>
          </w:p>
        </w:tc>
        <w:tc>
          <w:tcPr>
            <w:tcW w:w="6500" w:type="dxa"/>
            <w:vAlign w:val="center"/>
          </w:tcPr>
          <w:p>
            <w:pPr>
              <w:spacing w:before="0" w:after="0"/>
              <w:jc w:val="left"/>
            </w:pPr>
            <w:r>
              <w:rPr>
                <w:color w:val="2C3E50"/>
                <w:sz w:val="21"/>
              </w:rPr>
              <w:t>Founder &amp; Owner</w:t>
            </w:r>
          </w:p>
        </w:tc>
      </w:tr>
      <w:tr>
        <w:trPr>
          <w:trHeight w:val="360" w:hRule="atLeast"/>
        </w:trPr>
        <w:tc>
          <w:tcPr>
            <w:tcW w:w="3500" w:type="dxa"/>
            <w:vAlign w:val="center"/>
          </w:tcPr>
          <w:p>
            <w:pPr>
              <w:spacing w:before="0" w:after="0"/>
              <w:jc w:val="left"/>
            </w:pPr>
            <w:r>
              <w:rPr>
                <w:b/>
                <w:color w:val="2C3E50"/>
                <w:sz w:val="21"/>
              </w:rPr>
              <w:t>Location</w:t>
            </w:r>
          </w:p>
        </w:tc>
        <w:tc>
          <w:tcPr>
            <w:tcW w:w="6500" w:type="dxa"/>
            <w:vAlign w:val="center"/>
          </w:tcPr>
          <w:p>
            <w:pPr>
              <w:spacing w:before="0" w:after="0"/>
              <w:jc w:val="left"/>
            </w:pPr>
            <w:r>
              <w:rPr>
                <w:color w:val="2C3E50"/>
                <w:sz w:val="21"/>
              </w:rPr>
              <w:t>Anambra State, Nigeria</w:t>
            </w:r>
          </w:p>
        </w:tc>
      </w:tr>
    </w:tbl>
    <w:p>
      <w:pPr>
        <w:pStyle w:val="Heading1"/>
      </w:pPr>
      <w:bookmarkStart w:name="_Toc003" w:id="003"/>
      <w:r>
        <w:t>Mission &amp; Vision</w:t>
      </w:r>
      <w:bookmarkEnd w:id="003"/>
    </w:p>
    <w:p>
      <w:pPr>
        <w:pStyle w:val="Heading2"/>
      </w:pPr>
      <w:r>
        <w:t>Mission</w:t>
      </w:r>
    </w:p>
    <w:p>
      <w:r>
        <w:t>To create a digital ecosystem where users can play, earn, and live through integrated gaming, finance, and lifestyle platforms. We aim to bridge the gap between virtual experiences and real-world value, empowering our users to monetize their time and creativity.</w:t>
      </w:r>
    </w:p>
    <w:p>
      <w:pPr>
        <w:pStyle w:val="Heading2"/>
      </w:pPr>
      <w:r>
        <w:t>Vision</w:t>
      </w:r>
    </w:p>
    <w:p>
      <w:r>
        <w:t>To become a global leader in metaverse gaming, decentralized finance, and digital lifestyle branding. We envision a world where digital and physical realities seamlessly blend, creating new opportunities for entertainment, commerce, and self-expression.</w:t>
      </w:r>
    </w:p>
    <w:p>
      <w:pPr>
        <w:pStyle w:val="Heading1"/>
      </w:pPr>
      <w:bookmarkStart w:name="_Toc004" w:id="004"/>
      <w:r>
        <w:t>Business Structure</w:t>
      </w:r>
      <w:bookmarkEnd w:id="004"/>
    </w:p>
    <w:p>
      <w:pPr>
        <w:pStyle w:val="Heading2"/>
      </w:pPr>
      <w:r>
        <w:t>Corporate Information</w:t>
      </w:r>
    </w:p>
    <w:tbl>
      <w:tblPr>
        <w:tblW w:w="5000" w:type="pct"/>
        <w:tblBorders>
          <w:top w:val="single" w:color="1E3A5F" w:sz="12"/>
          <w:left w:val="nil"/>
          <w:bottom w:val="single" w:color="1E3A5F" w:sz="12"/>
          <w:right w:val="nil"/>
          <w:insideH w:val="nil"/>
          <w:insideV w:val="nil"/>
        </w:tblBorders>
        <w:tblCellMar>
          <w:top w:w="120" w:type="dxa"/>
          <w:left w:w="150" w:type="dxa"/>
          <w:bottom w:w="120" w:type="dxa"/>
          <w:right w:w="150" w:type="dxa"/>
        </w:tblCellMar>
      </w:tblPr>
      <w:tblGrid>
        <w:gridCol w:w="4000"/>
        <w:gridCol w:w="6000"/>
      </w:tblGrid>
      <w:tr>
        <w:trPr>
          <w:tblHeader/>
          <w:trHeight w:val="400" w:hRule="atLeast"/>
        </w:trPr>
        <w:tc>
          <w:tcPr>
            <w:tcW w:w="4000" w:type="dxa"/>
            <w:tcBorders>
              <w:bottom w:val="single" w:color="1E3A5F" w:sz="6"/>
            </w:tcBorders>
            <w:shd w:val="clear" w:fill="E8EEF4"/>
            <w:vAlign w:val="center"/>
          </w:tcPr>
          <w:p>
            <w:pPr>
              <w:spacing w:before="0" w:after="0"/>
              <w:jc w:val="center"/>
            </w:pPr>
            <w:r>
              <w:rPr>
                <w:b/>
                <w:color w:val="2C3E50"/>
                <w:sz w:val="21"/>
              </w:rPr>
              <w:t>Attribute</w:t>
            </w:r>
          </w:p>
        </w:tc>
        <w:tc>
          <w:tcPr>
            <w:tcW w:w="6000" w:type="dxa"/>
            <w:tcBorders>
              <w:bottom w:val="single" w:color="1E3A5F" w:sz="6"/>
            </w:tcBorders>
            <w:shd w:val="clear" w:fill="E8EEF4"/>
            <w:vAlign w:val="center"/>
          </w:tcPr>
          <w:p>
            <w:pPr>
              <w:spacing w:before="0" w:after="0"/>
              <w:jc w:val="center"/>
            </w:pPr>
            <w:r>
              <w:rPr>
                <w:b/>
                <w:color w:val="2C3E50"/>
                <w:sz w:val="21"/>
              </w:rPr>
              <w:t>Details</w:t>
            </w:r>
          </w:p>
        </w:tc>
      </w:tr>
      <w:tr>
        <w:trPr>
          <w:trHeight w:val="360" w:hRule="atLeast"/>
        </w:trPr>
        <w:tc>
          <w:tcPr>
            <w:tcW w:w="4000" w:type="dxa"/>
            <w:vAlign w:val="center"/>
          </w:tcPr>
          <w:p>
            <w:pPr>
              <w:spacing w:before="0" w:after="0"/>
              <w:jc w:val="left"/>
            </w:pPr>
            <w:r>
              <w:rPr>
                <w:color w:val="2C3E50"/>
                <w:sz w:val="21"/>
              </w:rPr>
              <w:t>Parent Company</w:t>
            </w:r>
          </w:p>
        </w:tc>
        <w:tc>
          <w:tcPr>
            <w:tcW w:w="6000" w:type="dxa"/>
            <w:vAlign w:val="center"/>
          </w:tcPr>
          <w:p>
            <w:pPr>
              <w:spacing w:before="0" w:after="0"/>
              <w:jc w:val="left"/>
            </w:pPr>
            <w:r>
              <w:rPr>
                <w:color w:val="2C3E50"/>
                <w:sz w:val="21"/>
              </w:rPr>
              <w:t>LifeVerse Technologies Ltd</w:t>
            </w:r>
          </w:p>
        </w:tc>
      </w:tr>
      <w:tr>
        <w:trPr>
          <w:trHeight w:val="360" w:hRule="atLeast"/>
        </w:trPr>
        <w:tc>
          <w:tcPr>
            <w:tcW w:w="4000" w:type="dxa"/>
            <w:vAlign w:val="center"/>
          </w:tcPr>
          <w:p>
            <w:pPr>
              <w:spacing w:before="0" w:after="0"/>
              <w:jc w:val="left"/>
            </w:pPr>
            <w:r>
              <w:rPr>
                <w:color w:val="2C3E50"/>
                <w:sz w:val="21"/>
              </w:rPr>
              <w:t>Registered Entity</w:t>
            </w:r>
          </w:p>
        </w:tc>
        <w:tc>
          <w:tcPr>
            <w:tcW w:w="6000" w:type="dxa"/>
            <w:vAlign w:val="center"/>
          </w:tcPr>
          <w:p>
            <w:pPr>
              <w:spacing w:before="0" w:after="0"/>
              <w:jc w:val="left"/>
            </w:pPr>
            <w:r>
              <w:rPr>
                <w:color w:val="2C3E50"/>
                <w:sz w:val="21"/>
              </w:rPr>
              <w:t>FVA70K SERVICES</w:t>
            </w:r>
          </w:p>
        </w:tc>
      </w:tr>
      <w:tr>
        <w:trPr>
          <w:trHeight w:val="360" w:hRule="atLeast"/>
        </w:trPr>
        <w:tc>
          <w:tcPr>
            <w:tcW w:w="4000" w:type="dxa"/>
            <w:vAlign w:val="center"/>
          </w:tcPr>
          <w:p>
            <w:pPr>
              <w:spacing w:before="0" w:after="0"/>
              <w:jc w:val="left"/>
            </w:pPr>
            <w:r>
              <w:rPr>
                <w:color w:val="2C3E50"/>
                <w:sz w:val="21"/>
              </w:rPr>
              <w:t>Licensing</w:t>
            </w:r>
          </w:p>
        </w:tc>
        <w:tc>
          <w:tcPr>
            <w:tcW w:w="6000" w:type="dxa"/>
            <w:vAlign w:val="center"/>
          </w:tcPr>
          <w:p>
            <w:pPr>
              <w:spacing w:before="0" w:after="0"/>
              <w:jc w:val="left"/>
            </w:pPr>
            <w:r>
              <w:rPr>
                <w:color w:val="2C3E50"/>
                <w:sz w:val="21"/>
              </w:rPr>
              <w:t>CAC Licensed (Nigeria)</w:t>
            </w:r>
          </w:p>
        </w:tc>
      </w:tr>
      <w:tr>
        <w:trPr>
          <w:trHeight w:val="360" w:hRule="atLeast"/>
        </w:trPr>
        <w:tc>
          <w:tcPr>
            <w:tcW w:w="4000" w:type="dxa"/>
            <w:vAlign w:val="center"/>
          </w:tcPr>
          <w:p>
            <w:pPr>
              <w:spacing w:before="0" w:after="0"/>
              <w:jc w:val="left"/>
            </w:pPr>
            <w:r>
              <w:rPr>
                <w:color w:val="2C3E50"/>
                <w:sz w:val="21"/>
              </w:rPr>
              <w:t>Headquarters</w:t>
            </w:r>
          </w:p>
        </w:tc>
        <w:tc>
          <w:tcPr>
            <w:tcW w:w="6000" w:type="dxa"/>
            <w:vAlign w:val="center"/>
          </w:tcPr>
          <w:p>
            <w:pPr>
              <w:spacing w:before="0" w:after="0"/>
              <w:jc w:val="left"/>
            </w:pPr>
            <w:r>
              <w:rPr>
                <w:color w:val="2C3E50"/>
                <w:sz w:val="21"/>
              </w:rPr>
              <w:t>Anambra State, Nigeria</w:t>
            </w:r>
          </w:p>
        </w:tc>
      </w:tr>
      <w:tr>
        <w:trPr>
          <w:trHeight w:val="360" w:hRule="atLeast"/>
        </w:trPr>
        <w:tc>
          <w:tcPr>
            <w:tcW w:w="4000" w:type="dxa"/>
            <w:vAlign w:val="center"/>
          </w:tcPr>
          <w:p>
            <w:pPr>
              <w:spacing w:before="0" w:after="0"/>
              <w:jc w:val="left"/>
            </w:pPr>
            <w:r>
              <w:rPr>
                <w:color w:val="2C3E50"/>
                <w:sz w:val="21"/>
              </w:rPr>
              <w:t>Founded</w:t>
            </w:r>
          </w:p>
        </w:tc>
        <w:tc>
          <w:tcPr>
            <w:tcW w:w="6000" w:type="dxa"/>
            <w:vAlign w:val="center"/>
          </w:tcPr>
          <w:p>
            <w:pPr>
              <w:spacing w:before="0" w:after="0"/>
              <w:jc w:val="left"/>
            </w:pPr>
            <w:r>
              <w:rPr>
                <w:color w:val="2C3E50"/>
                <w:sz w:val="21"/>
              </w:rPr>
              <w:t>2026</w:t>
            </w:r>
          </w:p>
        </w:tc>
      </w:tr>
    </w:tbl>
    <w:p>
      <w:pPr>
        <w:pStyle w:val="Caption"/>
      </w:pPr>
      <w:r>
        <w:t>Table 1: Corporate Information</w:t>
      </w:r>
    </w:p>
    <w:p>
      <w:pPr>
        <w:pStyle w:val="Heading2"/>
      </w:pPr>
      <w:r>
        <w:t>Ecosystem Architecture</w:t>
      </w:r>
    </w:p>
    <w:p>
      <w:r>
        <w:t>LifeVerse Technologies operates a synergistic ecosystem where each product reinforces the others:</w:t>
      </w:r>
    </w:p>
    <w:p>
      <w:pPr>
        <w:numPr>
          <w:ilvl w:val="0"/>
          <w:numId w:val="1"/>
        </w:numPr>
      </w:pPr>
      <w:r>
        <w:t>LifeVerse RP provides the gaming platform and user engagement</w:t>
      </w:r>
    </w:p>
    <w:p>
      <w:pPr>
        <w:numPr>
          <w:ilvl w:val="0"/>
          <w:numId w:val="1"/>
        </w:numPr>
      </w:pPr>
      <w:r>
        <w:t>LifeCoin enables economic transactions and value transfer</w:t>
      </w:r>
    </w:p>
    <w:p>
      <w:pPr>
        <w:numPr>
          <w:ilvl w:val="0"/>
          <w:numId w:val="1"/>
        </w:numPr>
      </w:pPr>
      <w:r>
        <w:t>Lifetime Clothing creates real-world brand presence and identity</w:t>
      </w:r>
    </w:p>
    <w:p>
      <w:pPr>
        <w:pStyle w:val="Heading1"/>
      </w:pPr>
      <w:bookmarkStart w:name="_Toc005" w:id="005"/>
      <w:r>
        <w:t>Core Products</w:t>
      </w:r>
      <w:bookmarkEnd w:id="005"/>
    </w:p>
    <w:p>
      <w:pPr>
        <w:pStyle w:val="Heading2"/>
      </w:pPr>
      <w:r>
        <w:t>LifeVerse RP</w:t>
      </w:r>
    </w:p>
    <w:p>
      <w:r>
        <w:t>LifeVerse RP is a next-generation role-playing game that combines immersive gameplay with real economic value. Players can build virtual lives, careers, and businesses in a persistent multiplayer world while earning LifeCoin (LFC) through their achievements.</w:t>
      </w:r>
    </w:p>
    <w:p>
      <w:pPr>
        <w:pStyle w:val="Heading3"/>
      </w:pPr>
      <w:r>
        <w:t>Key Features</w:t>
      </w:r>
    </w:p>
    <w:p>
      <w:pPr>
        <w:numPr>
          <w:ilvl w:val="0"/>
          <w:numId w:val="1"/>
        </w:numPr>
      </w:pPr>
      <w:r>
        <w:t>Massive multiplayer environments supporting 500+ concurrent players</w:t>
      </w:r>
    </w:p>
    <w:p>
      <w:pPr>
        <w:numPr>
          <w:ilvl w:val="0"/>
          <w:numId w:val="1"/>
        </w:numPr>
      </w:pPr>
      <w:r>
        <w:t>Comprehensive career system with 50+ legitimate and criminal paths</w:t>
      </w:r>
    </w:p>
    <w:p>
      <w:pPr>
        <w:numPr>
          <w:ilvl w:val="0"/>
          <w:numId w:val="1"/>
        </w:numPr>
      </w:pPr>
      <w:r>
        <w:t>Property and business ownership with passive income generation</w:t>
      </w:r>
    </w:p>
    <w:p>
      <w:pPr>
        <w:numPr>
          <w:ilvl w:val="0"/>
          <w:numId w:val="1"/>
        </w:numPr>
      </w:pPr>
      <w:r>
        <w:t>Dual-currency economy balancing gameplay and real value</w:t>
      </w:r>
    </w:p>
    <w:p>
      <w:pPr>
        <w:numPr>
          <w:ilvl w:val="0"/>
          <w:numId w:val="1"/>
        </w:numPr>
      </w:pPr>
      <w:r>
        <w:t>Organizational systems for gangs, corporations, and law enforcement</w:t>
      </w:r>
    </w:p>
    <w:p>
      <w:pPr>
        <w:pStyle w:val="Heading2"/>
      </w:pPr>
      <w:r>
        <w:t>LifeCoin (LFC)</w:t>
      </w:r>
    </w:p>
    <w:p>
      <w:r>
        <w:t>LifeCoin is an independent decentralized Proof-of-Work blockchain cryptocurrency that powers the LifeVerse ecosystem. Built on proven technology with a fair distribution model, LifeCoin ensures transparency, security, and accessibility.</w:t>
      </w:r>
    </w:p>
    <w:p>
      <w:pPr>
        <w:pStyle w:val="Heading3"/>
      </w:pPr>
      <w:r>
        <w:t>Technical Specifications</w:t>
      </w:r>
    </w:p>
    <w:tbl>
      <w:tblPr>
        <w:tblW w:w="5000" w:type="pct"/>
        <w:tblBorders>
          <w:top w:val="single" w:color="1E3A5F" w:sz="12"/>
          <w:left w:val="nil"/>
          <w:bottom w:val="single" w:color="1E3A5F" w:sz="12"/>
          <w:right w:val="nil"/>
          <w:insideH w:val="nil"/>
          <w:insideV w:val="nil"/>
        </w:tblBorders>
        <w:tblCellMar>
          <w:top w:w="120" w:type="dxa"/>
          <w:left w:w="150" w:type="dxa"/>
          <w:bottom w:w="120" w:type="dxa"/>
          <w:right w:w="150" w:type="dxa"/>
        </w:tblCellMar>
      </w:tblPr>
      <w:tblGrid>
        <w:gridCol w:w="4000"/>
        <w:gridCol w:w="6000"/>
      </w:tblGrid>
      <w:tr>
        <w:trPr>
          <w:tblHeader/>
          <w:trHeight w:val="400" w:hRule="atLeast"/>
        </w:trPr>
        <w:tc>
          <w:tcPr>
            <w:tcW w:w="4000" w:type="dxa"/>
            <w:tcBorders>
              <w:bottom w:val="single" w:color="1E3A5F" w:sz="6"/>
            </w:tcBorders>
            <w:shd w:val="clear" w:fill="E8EEF4"/>
            <w:vAlign w:val="center"/>
          </w:tcPr>
          <w:p>
            <w:pPr>
              <w:spacing w:before="0" w:after="0"/>
              <w:jc w:val="center"/>
            </w:pPr>
            <w:r>
              <w:rPr>
                <w:b/>
                <w:color w:val="2C3E50"/>
                <w:sz w:val="21"/>
              </w:rPr>
              <w:t>Specification</w:t>
            </w:r>
          </w:p>
        </w:tc>
        <w:tc>
          <w:tcPr>
            <w:tcW w:w="6000" w:type="dxa"/>
            <w:tcBorders>
              <w:bottom w:val="single" w:color="1E3A5F" w:sz="6"/>
            </w:tcBorders>
            <w:shd w:val="clear" w:fill="E8EEF4"/>
            <w:vAlign w:val="center"/>
          </w:tcPr>
          <w:p>
            <w:pPr>
              <w:spacing w:before="0" w:after="0"/>
              <w:jc w:val="center"/>
            </w:pPr>
            <w:r>
              <w:rPr>
                <w:b/>
                <w:color w:val="2C3E50"/>
                <w:sz w:val="21"/>
              </w:rPr>
              <w:t>Value</w:t>
            </w:r>
          </w:p>
        </w:tc>
      </w:tr>
      <w:tr>
        <w:trPr>
          <w:trHeight w:val="360" w:hRule="atLeast"/>
        </w:trPr>
        <w:tc>
          <w:tcPr>
            <w:tcW w:w="4000" w:type="dxa"/>
            <w:vAlign w:val="center"/>
          </w:tcPr>
          <w:p>
            <w:pPr>
              <w:spacing w:before="0" w:after="0"/>
              <w:jc w:val="left"/>
            </w:pPr>
            <w:r>
              <w:rPr>
                <w:color w:val="2C3E50"/>
                <w:sz w:val="21"/>
              </w:rPr>
              <w:t>Algorithm</w:t>
            </w:r>
          </w:p>
        </w:tc>
        <w:tc>
          <w:tcPr>
            <w:tcW w:w="6000" w:type="dxa"/>
            <w:vAlign w:val="center"/>
          </w:tcPr>
          <w:p>
            <w:pPr>
              <w:spacing w:before="0" w:after="0"/>
              <w:jc w:val="left"/>
            </w:pPr>
            <w:r>
              <w:rPr>
                <w:color w:val="2C3E50"/>
                <w:sz w:val="21"/>
              </w:rPr>
              <w:t>Scrypt (GPU/CPU friendly)</w:t>
            </w:r>
          </w:p>
        </w:tc>
      </w:tr>
      <w:tr>
        <w:trPr>
          <w:trHeight w:val="360" w:hRule="atLeast"/>
        </w:trPr>
        <w:tc>
          <w:tcPr>
            <w:tcW w:w="4000" w:type="dxa"/>
            <w:vAlign w:val="center"/>
          </w:tcPr>
          <w:p>
            <w:pPr>
              <w:spacing w:before="0" w:after="0"/>
              <w:jc w:val="left"/>
            </w:pPr>
            <w:r>
              <w:rPr>
                <w:color w:val="2C3E50"/>
                <w:sz w:val="21"/>
              </w:rPr>
              <w:t>Total Supply</w:t>
            </w:r>
          </w:p>
        </w:tc>
        <w:tc>
          <w:tcPr>
            <w:tcW w:w="6000" w:type="dxa"/>
            <w:vAlign w:val="center"/>
          </w:tcPr>
          <w:p>
            <w:pPr>
              <w:spacing w:before="0" w:after="0"/>
              <w:jc w:val="left"/>
            </w:pPr>
            <w:r>
              <w:rPr>
                <w:color w:val="2C3E50"/>
                <w:sz w:val="21"/>
              </w:rPr>
              <w:t>84,000,000 LFC</w:t>
            </w:r>
          </w:p>
        </w:tc>
      </w:tr>
      <w:tr>
        <w:trPr>
          <w:trHeight w:val="360" w:hRule="atLeast"/>
        </w:trPr>
        <w:tc>
          <w:tcPr>
            <w:tcW w:w="4000" w:type="dxa"/>
            <w:vAlign w:val="center"/>
          </w:tcPr>
          <w:p>
            <w:pPr>
              <w:spacing w:before="0" w:after="0"/>
              <w:jc w:val="left"/>
            </w:pPr>
            <w:r>
              <w:rPr>
                <w:color w:val="2C3E50"/>
                <w:sz w:val="21"/>
              </w:rPr>
              <w:t>Block Time</w:t>
            </w:r>
          </w:p>
        </w:tc>
        <w:tc>
          <w:tcPr>
            <w:tcW w:w="6000" w:type="dxa"/>
            <w:vAlign w:val="center"/>
          </w:tcPr>
          <w:p>
            <w:pPr>
              <w:spacing w:before="0" w:after="0"/>
              <w:jc w:val="left"/>
            </w:pPr>
            <w:r>
              <w:rPr>
                <w:color w:val="2C3E50"/>
                <w:sz w:val="21"/>
              </w:rPr>
              <w:t>60 seconds</w:t>
            </w:r>
          </w:p>
        </w:tc>
      </w:tr>
      <w:tr>
        <w:trPr>
          <w:trHeight w:val="360" w:hRule="atLeast"/>
        </w:trPr>
        <w:tc>
          <w:tcPr>
            <w:tcW w:w="4000" w:type="dxa"/>
            <w:vAlign w:val="center"/>
          </w:tcPr>
          <w:p>
            <w:pPr>
              <w:spacing w:before="0" w:after="0"/>
              <w:jc w:val="left"/>
            </w:pPr>
            <w:r>
              <w:rPr>
                <w:color w:val="2C3E50"/>
                <w:sz w:val="21"/>
              </w:rPr>
              <w:t>Block Reward</w:t>
            </w:r>
          </w:p>
        </w:tc>
        <w:tc>
          <w:tcPr>
            <w:tcW w:w="6000" w:type="dxa"/>
            <w:vAlign w:val="center"/>
          </w:tcPr>
          <w:p>
            <w:pPr>
              <w:spacing w:before="0" w:after="0"/>
              <w:jc w:val="left"/>
            </w:pPr>
            <w:r>
              <w:rPr>
                <w:color w:val="2C3E50"/>
                <w:sz w:val="21"/>
              </w:rPr>
              <w:t>50 LFC</w:t>
            </w:r>
          </w:p>
        </w:tc>
      </w:tr>
      <w:tr>
        <w:trPr>
          <w:trHeight w:val="360" w:hRule="atLeast"/>
        </w:trPr>
        <w:tc>
          <w:tcPr>
            <w:tcW w:w="4000" w:type="dxa"/>
            <w:vAlign w:val="center"/>
          </w:tcPr>
          <w:p>
            <w:pPr>
              <w:spacing w:before="0" w:after="0"/>
              <w:jc w:val="left"/>
            </w:pPr>
            <w:r>
              <w:rPr>
                <w:color w:val="2C3E50"/>
                <w:sz w:val="21"/>
              </w:rPr>
              <w:t>Distribution</w:t>
            </w:r>
          </w:p>
        </w:tc>
        <w:tc>
          <w:tcPr>
            <w:tcW w:w="6000" w:type="dxa"/>
            <w:vAlign w:val="center"/>
          </w:tcPr>
          <w:p>
            <w:pPr>
              <w:spacing w:before="0" w:after="0"/>
              <w:jc w:val="left"/>
            </w:pPr>
            <w:r>
              <w:rPr>
                <w:color w:val="2C3E50"/>
                <w:sz w:val="21"/>
              </w:rPr>
              <w:t>100% Mining (No premine, no ICO)</w:t>
            </w:r>
          </w:p>
        </w:tc>
      </w:tr>
      <w:tr>
        <w:trPr>
          <w:trHeight w:val="360" w:hRule="atLeast"/>
        </w:trPr>
        <w:tc>
          <w:tcPr>
            <w:tcW w:w="4000" w:type="dxa"/>
            <w:vAlign w:val="center"/>
          </w:tcPr>
          <w:p>
            <w:pPr>
              <w:spacing w:before="0" w:after="0"/>
              <w:jc w:val="left"/>
            </w:pPr>
            <w:r>
              <w:rPr>
                <w:color w:val="2C3E50"/>
                <w:sz w:val="21"/>
              </w:rPr>
              <w:t>Network</w:t>
            </w:r>
          </w:p>
        </w:tc>
        <w:tc>
          <w:tcPr>
            <w:tcW w:w="6000" w:type="dxa"/>
            <w:vAlign w:val="center"/>
          </w:tcPr>
          <w:p>
            <w:pPr>
              <w:spacing w:before="0" w:after="0"/>
              <w:jc w:val="left"/>
            </w:pPr>
            <w:r>
              <w:rPr>
                <w:color w:val="2C3E50"/>
                <w:sz w:val="21"/>
              </w:rPr>
              <w:t>Independent blockchain</w:t>
            </w:r>
          </w:p>
        </w:tc>
      </w:tr>
    </w:tbl>
    <w:p>
      <w:pPr>
        <w:pStyle w:val="Caption"/>
      </w:pPr>
      <w:r>
        <w:t>Table 2: LifeCoin Technical Specifications</w:t>
      </w:r>
    </w:p>
    <w:p>
      <w:pPr>
        <w:pStyle w:val="Heading2"/>
      </w:pPr>
      <w:r>
        <w:t>Lifetime Clothing Brand</w:t>
      </w:r>
    </w:p>
    <w:p>
      <w:r>
        <w:t>Lifetime is LifeVerse Technologies' fashion and lifestyle brand that bridges the digital and physical worlds. Representing digital identity in the real world, Lifetime creates apparel and accessories that resonate with the gaming and crypto community.</w:t>
      </w:r>
    </w:p>
    <w:p>
      <w:pPr>
        <w:pStyle w:val="Heading3"/>
      </w:pPr>
      <w:r>
        <w:t>Brand Philosophy</w:t>
      </w:r>
    </w:p>
    <w:p>
      <w:pPr>
        <w:numPr>
          <w:ilvl w:val="0"/>
          <w:numId w:val="1"/>
        </w:numPr>
      </w:pPr>
      <w:r>
        <w:t>Digital identity expressed through physical fashion</w:t>
      </w:r>
    </w:p>
    <w:p>
      <w:pPr>
        <w:numPr>
          <w:ilvl w:val="0"/>
          <w:numId w:val="1"/>
        </w:numPr>
      </w:pPr>
      <w:r>
        <w:t>Quality apparel for the gaming and crypto community</w:t>
      </w:r>
    </w:p>
    <w:p>
      <w:pPr>
        <w:numPr>
          <w:ilvl w:val="0"/>
          <w:numId w:val="1"/>
        </w:numPr>
      </w:pPr>
      <w:r>
        <w:t>Limited edition collections tied to in-game achievements</w:t>
      </w:r>
    </w:p>
    <w:p>
      <w:pPr>
        <w:numPr>
          <w:ilvl w:val="0"/>
          <w:numId w:val="1"/>
        </w:numPr>
      </w:pPr>
      <w:r>
        <w:t>Sustainable and ethical manufacturing practices</w:t>
      </w:r>
    </w:p>
    <w:p>
      <w:pPr>
        <w:pStyle w:val="Heading1"/>
      </w:pPr>
      <w:bookmarkStart w:name="_Toc006" w:id="006"/>
      <w:r>
        <w:t>Market Opportunity</w:t>
      </w:r>
      <w:bookmarkEnd w:id="006"/>
    </w:p>
    <w:p>
      <w:pPr>
        <w:pStyle w:val="Heading2"/>
      </w:pPr>
      <w:r>
        <w:t>Gaming Industry</w:t>
      </w:r>
    </w:p>
    <w:p>
      <w:r>
        <w:t>The global gaming market is valued at over $200 billion and continues to grow rapidly. Play-to-earn gaming represents the next evolution, combining entertainment with economic opportunity. LifeVerse RP is positioned to capture this emerging market segment.</w:t>
      </w:r>
    </w:p>
    <w:p>
      <w:pPr>
        <w:pStyle w:val="Heading2"/>
      </w:pPr>
      <w:r>
        <w:t>Cryptocurrency Market</w:t>
      </w:r>
    </w:p>
    <w:p>
      <w:r>
        <w:t>Cryptocurrency adoption is accelerating worldwide, with increasing demand for practical use cases beyond speculation. LifeCoin provides a utility-focused cryptocurrency with real-world applications in gaming, payments, and DeFi.</w:t>
      </w:r>
    </w:p>
    <w:p>
      <w:pPr>
        <w:pStyle w:val="Heading2"/>
      </w:pPr>
      <w:r>
        <w:t>Metaverse &amp; Digital Lifestyle</w:t>
      </w:r>
    </w:p>
    <w:p>
      <w:r>
        <w:t>The metaverse represents a trillion-dollar opportunity as digital and physical worlds converge. LifeVerse Technologies is building the infrastructure and experiences that will define how people interact, work, and play in this new paradigm.</w:t>
      </w:r>
    </w:p>
    <w:p>
      <w:pPr>
        <w:pStyle w:val="Heading1"/>
      </w:pPr>
      <w:bookmarkStart w:name="_Toc007" w:id="007"/>
      <w:r>
        <w:t>Competitive Advantage</w:t>
      </w:r>
      <w:bookmarkEnd w:id="007"/>
    </w:p>
    <w:p>
      <w:pPr>
        <w:pStyle w:val="Heading2"/>
      </w:pPr>
      <w:r>
        <w:t>Integrated Ecosystem</w:t>
      </w:r>
    </w:p>
    <w:p>
      <w:r>
        <w:t>Unlike competitors who focus on single products, LifeVerse Technologies offers a complete ecosystem where gaming, finance, and lifestyle products reinforce each other, creating multiple touchpoints with users.</w:t>
      </w:r>
    </w:p>
    <w:p>
      <w:pPr>
        <w:pStyle w:val="Heading2"/>
      </w:pPr>
      <w:r>
        <w:t>Independent Blockchain</w:t>
      </w:r>
    </w:p>
    <w:p>
      <w:r>
        <w:t>LifeCoin operates on its own Proof-of-Work blockchain, providing sovereignty and flexibility that tokens on other networks cannot match. This independence ensures long-term sustainability and control.</w:t>
      </w:r>
    </w:p>
    <w:p>
      <w:pPr>
        <w:pStyle w:val="Heading2"/>
      </w:pPr>
      <w:r>
        <w:t>Fair Distribution</w:t>
      </w:r>
    </w:p>
    <w:p>
      <w:r>
        <w:t>With 100% of LifeCoin distributed through mining and no premine or ICO, the project demonstrates a commitment to fairness and decentralization that builds trust with the community.</w:t>
      </w:r>
    </w:p>
    <w:p>
      <w:pPr>
        <w:pStyle w:val="Heading2"/>
      </w:pPr>
      <w:r>
        <w:t>African Innovation</w:t>
      </w:r>
    </w:p>
    <w:p>
      <w:r>
        <w:t>Based in Nigeria, LifeVerse Technologies represents the growing wave of African innovation in technology and finance, bringing unique perspectives and opportunities to the global market.</w:t>
      </w:r>
    </w:p>
    <w:p>
      <w:pPr>
        <w:pStyle w:val="Heading1"/>
      </w:pPr>
      <w:bookmarkStart w:name="_Toc008" w:id="008"/>
      <w:r>
        <w:t>Development Roadmap</w:t>
      </w:r>
      <w:bookmarkEnd w:id="008"/>
    </w:p>
    <w:p>
      <w:pPr>
        <w:pStyle w:val="Heading2"/>
      </w:pPr>
      <w:r>
        <w:t>2026 Milestones</w:t>
      </w:r>
    </w:p>
    <w:p>
      <w:pPr>
        <w:numPr>
          <w:ilvl w:val="0"/>
          <w:numId w:val="1"/>
        </w:numPr>
      </w:pPr>
      <w:r>
        <w:t>Q1: Company expansion, LifeCoin testnet launch</w:t>
      </w:r>
    </w:p>
    <w:p>
      <w:pPr>
        <w:numPr>
          <w:ilvl w:val="0"/>
          <w:numId w:val="1"/>
        </w:numPr>
      </w:pPr>
      <w:r>
        <w:t>Q2: LifeCoin mainnet and wallet releases</w:t>
      </w:r>
    </w:p>
    <w:p>
      <w:pPr>
        <w:numPr>
          <w:ilvl w:val="0"/>
          <w:numId w:val="1"/>
        </w:numPr>
      </w:pPr>
      <w:r>
        <w:t>Q3: LifeVerse RP alpha testing</w:t>
      </w:r>
    </w:p>
    <w:p>
      <w:pPr>
        <w:numPr>
          <w:ilvl w:val="0"/>
          <w:numId w:val="1"/>
        </w:numPr>
      </w:pPr>
      <w:r>
        <w:t>Q4: Beta launch and exchange listings</w:t>
      </w:r>
    </w:p>
    <w:p>
      <w:pPr>
        <w:pStyle w:val="Heading2"/>
      </w:pPr>
      <w:r>
        <w:t>2027+ Goals</w:t>
      </w:r>
    </w:p>
    <w:p>
      <w:pPr>
        <w:numPr>
          <w:ilvl w:val="0"/>
          <w:numId w:val="1"/>
        </w:numPr>
      </w:pPr>
      <w:r>
        <w:t>Full LifeVerse RP launch with complete feature set</w:t>
      </w:r>
    </w:p>
    <w:p>
      <w:pPr>
        <w:numPr>
          <w:ilvl w:val="0"/>
          <w:numId w:val="1"/>
        </w:numPr>
      </w:pPr>
      <w:r>
        <w:t>Lifetime Clothing brand expansion</w:t>
      </w:r>
    </w:p>
    <w:p>
      <w:pPr>
        <w:numPr>
          <w:ilvl w:val="0"/>
          <w:numId w:val="1"/>
        </w:numPr>
      </w:pPr>
      <w:r>
        <w:t>DeFi ecosystem development</w:t>
      </w:r>
    </w:p>
    <w:p>
      <w:pPr>
        <w:numPr>
          <w:ilvl w:val="0"/>
          <w:numId w:val="1"/>
        </w:numPr>
      </w:pPr>
      <w:r>
        <w:t>Strategic partnerships and global expansion</w:t>
      </w:r>
    </w:p>
    <w:p>
      <w:pPr>
        <w:pStyle w:val="Heading1"/>
      </w:pPr>
      <w:bookmarkStart w:name="_Toc009" w:id="009"/>
      <w:r>
        <w:t>Contact Information</w:t>
      </w:r>
      <w:bookmarkEnd w:id="009"/>
    </w:p>
    <w:p>
      <w:pPr>
        <w:spacing w:before="200"/>
      </w:pPr>
      <w:r>
        <w:rPr>
          <w:b/>
        </w:rPr>
        <w:t>Company: </w:t>
      </w:r>
      <w:r>
        <w:t>LifeVerse Technologies Ltd</w:t>
      </w:r>
    </w:p>
    <w:p>
      <w:r>
        <w:rPr>
          <w:b/>
        </w:rPr>
        <w:t>Registered Entity: </w:t>
      </w:r>
      <w:r>
        <w:t>FVA70K SERVICES (CAC Licensed)</w:t>
      </w:r>
    </w:p>
    <w:p>
      <w:r>
        <w:rPr>
          <w:b/>
        </w:rPr>
        <w:t>Location: </w:t>
      </w:r>
      <w:r>
        <w:t>Anambra State, Nigeria</w:t>
      </w:r>
    </w:p>
    <w:p>
      <w:r>
        <w:rPr>
          <w:b/>
        </w:rPr>
        <w:t>Email: </w:t>
      </w:r>
      <w:r>
        <w:t>info@lifeverse.com</w:t>
      </w:r>
    </w:p>
    <w:p>
      <w:r>
        <w:rPr>
          <w:b/>
        </w:rPr>
        <w:t>Social Media: </w:t>
      </w:r>
      <w:r>
        <w:t>Twitter: @LifeVerseRP | Discord: discord.gg/lifeverse</w:t>
      </w:r>
    </w:p>
    <w:p>
      <w:pPr>
        <w:sectPr>
          <w:headerReference w:type="default" r:id="R211dfde36adc4fbe"/>
          <w:footerReference w:type="default" r:id="R359123399dc441ef"/>
          <w:type w:val="nextPage"/>
          <w:pgSz w:w="11906" w:h="16838"/>
          <w:pgMar w:top="1800" w:right="1440" w:bottom="1440" w:left="1440" w:header="720" w:footer="720"/>
        </w:sectPr>
      </w:pPr>
    </w:p>
    <w:p>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7560000" cy="10692000"/>
            <wp:effectExtent l="0" t="0" r="0" b="0"/>
            <wp:wrapNone/>
            <wp:docPr id="3" name="BackcoverBackground"/>
            <wp:cNvGraphicFramePr>
              <a:graphicFrameLocks noChangeAspect="1"/>
            </wp:cNvGraphicFramePr>
            <a:graphic>
              <a:graphicData uri="http://schemas.openxmlformats.org/drawingml/2006/picture">
                <pic:pic>
                  <pic:nvPicPr>
                    <pic:cNvPr id="0" name="BackcoverBackground.png"/>
                    <pic:cNvPicPr/>
                  </pic:nvPicPr>
                  <pic:blipFill>
                    <a:blip r:embed="Rf5bd70f5877849b5"/>
                    <a:stretch>
                      <a:fillRect/>
                    </a:stretch>
                  </pic:blipFill>
                  <pic:spPr>
                    <a:xfrm>
                      <a:off x="0" y="0"/>
                      <a:ext cx="7560000" cy="10692000"/>
                    </a:xfrm>
                    <a:prstGeom prst="rect"/>
                  </pic:spPr>
                </pic:pic>
              </a:graphicData>
            </a:graphic>
          </wp:anchor>
        </w:drawing>
      </w:r>
    </w:p>
    <w:p>
      <w:pPr>
        <w:spacing w:before="8000"/>
      </w:pPr>
      <w:r/>
    </w:p>
    <w:p>
      <w:pPr>
        <w:spacing w:after="200"/>
        <w:jc w:val="center"/>
      </w:pPr>
      <w:r>
        <w:rPr>
          <w:b/>
          <w:color w:val="FFFFFF"/>
          <w:sz w:val="40"/>
        </w:rPr>
        <w:t>LifeVerse Technologies Ltd</w:t>
      </w:r>
    </w:p>
    <w:p>
      <w:pPr>
        <w:spacing w:after="600"/>
        <w:jc w:val="center"/>
      </w:pPr>
      <w:r>
        <w:rPr>
          <w:color w:val="D4AF37"/>
          <w:sz w:val="24"/>
        </w:rPr>
        <w:t>Play. Earn. Live.</w:t>
      </w:r>
    </w:p>
    <w:p>
      <w:pPr>
        <w:spacing w:after="120"/>
        <w:jc w:val="center"/>
      </w:pPr>
      <w:r>
        <w:rPr>
          <w:color w:val="AAAAAA"/>
          <w:sz w:val="20"/>
        </w:rPr>
        <w:t>info@lifeverse.com</w:t>
      </w:r>
    </w:p>
    <w:p>
      <w:pPr>
        <w:spacing w:after="400"/>
        <w:jc w:val="center"/>
      </w:pPr>
      <w:r>
        <w:rPr>
          <w:color w:val="888888"/>
          <w:sz w:val="18"/>
        </w:rPr>
        <w:t>Anambra State, Nigeria</w:t>
      </w:r>
    </w:p>
    <w:p>
      <w:pPr>
        <w:jc w:val="center"/>
      </w:pPr>
      <w:r>
        <w:rPr>
          <w:color w:val="666666"/>
          <w:sz w:val="16"/>
        </w:rPr>
        <w:t>© 2026 LifeVerse Technologies Ltd. All rights reserved.</w:t>
      </w:r>
    </w:p>
    <w:sectPr>
      <w:pgSz w:w="11906" w:h="16838"/>
      <w:pgMar w:top="0" w:right="0" w:bottom="0" w:left="0" w:header="0" w:footer="0"/>
    </w:sectPr>
  </w:body>
</w:document>
</file>

<file path=word/footer1.xml><?xml version="1.0" encoding="utf-8"?>
<w:ftr xmlns:w="http://schemas.openxmlformats.org/wordprocessingml/2006/main">
  <w:p>
    <w:pPr>
      <w:jc w:val="center"/>
    </w:pPr>
    <w:r>
      <w:fldChar w:fldCharType="begin"/>
      <w:instrText xml:space="preserve"> PAGE </w:instrText>
      <w:fldChar w:fldCharType="separate"/>
      <w:t>1</w:t>
      <w:fldChar w:fldCharType="end"/>
    </w:r>
    <w:r>
      <w:t xml:space="preserve"> / </w:t>
    </w:r>
    <w:r>
      <w:fldChar w:fldCharType="begin"/>
      <w:instrText xml:space="preserve"> NUMPAGES </w:instrText>
      <w:fldChar w:fldCharType="separate"/>
      <w:t>1</w:t>
      <w:fldChar w:fldCharType="end"/>
    </w:r>
  </w:p>
</w:ftr>
</file>

<file path=word/header1.xml><?xml version="1.0" encoding="utf-8"?>
<w:hdr xmlns:a="http://schemas.openxmlformats.org/drawingml/2006/main" xmlns:pic="http://schemas.openxmlformats.org/drawingml/2006/picture" xmlns:r="http://schemas.openxmlformats.org/officeDocument/2006/relationships" xmlns:w="http://schemas.openxmlformats.org/wordprocessingml/2006/main" xmlns:wp="http://schemas.openxmlformats.org/drawingml/2006/wordprocessingDrawing">
  <w:p>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7560000" cy="10692000"/>
          <wp:effectExtent l="0" t="0" r="0" b="0"/>
          <wp:wrapNone/>
          <wp:docPr id="2" name="BodyBackground"/>
          <wp:cNvGraphicFramePr>
            <a:graphicFrameLocks noChangeAspect="1"/>
          </wp:cNvGraphicFramePr>
          <a:graphic>
            <a:graphicData uri="http://schemas.openxmlformats.org/drawingml/2006/picture">
              <pic:pic>
                <pic:nvPicPr>
                  <pic:cNvPr id="0" name="BodyBackground.png"/>
                  <pic:cNvPicPr/>
                </pic:nvPicPr>
                <pic:blipFill>
                  <a:blip r:embed="R07a7f604cf6c4aa8"/>
                  <a:stretch>
                    <a:fillRect/>
                  </a:stretch>
                </pic:blipFill>
                <pic:spPr>
                  <a:xfrm>
                    <a:off x="0" y="0"/>
                    <a:ext cx="7560000" cy="10692000"/>
                  </a:xfrm>
                  <a:prstGeom prst="rect"/>
                </pic:spPr>
              </pic:pic>
            </a:graphicData>
          </a:graphic>
        </wp:anchor>
      </w:drawing>
    </w:r>
  </w:p>
  <w:p>
    <w:pPr>
      <w:spacing w:before="0" w:after="0"/>
      <w:jc w:val="right"/>
    </w:pPr>
    <w:r>
      <w:rPr>
        <w:color w:val="7F8C8D"/>
        <w:sz w:val="18"/>
      </w:rPr>
      <w:t>LifeVerse Technologies Ltd</w:t>
    </w:r>
    <w:r>
      <w:rPr>
        <w:color w:val="1E3A5F"/>
        <w:sz w:val="18"/>
      </w:rPr>
      <w:t xml:space="preserve">  |  </w:t>
    </w:r>
    <w:r>
      <w:rPr>
        <w:color w:val="7F8C8D"/>
        <w:sz w:val="18"/>
      </w:rPr>
      <w:t>Company Profile</w:t>
    </w:r>
  </w:p>
</w:hdr>
</file>

<file path=word/numbering.xml><?xml version="1.0" encoding="utf-8"?>
<w:numbering xmlns:w="http://schemas.openxmlformats.org/wordprocessingml/2006/main">
  <w:abstractNum w:abstractNumId="1">
    <w:lvl w:ilvl="0">
      <w:numFmt w:val="bullet"/>
      <w:lvlText w:val="•"/>
      <w:lvlJc w:val="left"/>
      <w:pPr>
        <w:ind w:left="720" w:hanging="360"/>
      </w:pPr>
    </w:lvl>
  </w:abstractNum>
  <w:num w:numId="1">
    <w:abstractNumId w:val="1"/>
  </w:num>
</w:numbering>
</file>

<file path=word/settings.xml><?xml version="1.0" encoding="utf-8"?>
<w:settings xmlns:w="http://schemas.openxmlformats.org/wordprocessingml/2006/main">
  <w:displayBackgroundShape/>
  <w:updateFields w:val="true"/>
</w:settings>
</file>

<file path=word/styles.xml><?xml version="1.0" encoding="utf-8"?>
<w:styles xmlns:w="http://schemas.openxmlformats.org/wordprocessingml/2006/main">
  <w:style w:type="paragraph" w:styleId="Normal" w:default="true">
    <w:name w:val="Normal"/>
    <w:pPr>
      <w:spacing w:after="200" w:line="312" w:lineRule="auto"/>
    </w:pPr>
    <w:rPr>
      <w:rFonts w:ascii="Calibri" w:hAnsi="Calibri" w:eastAsia="Microsoft YaHei"/>
      <w:color w:val="2C3E50"/>
      <w:sz w:val="22"/>
    </w:rPr>
  </w:style>
  <w:style w:type="paragraph" w:styleId="Heading1">
    <w:name w:val="heading 1"/>
    <w:basedOn w:val="Normal"/>
    <w:pPr>
      <w:keepNext/>
      <w:keepLines/>
      <w:pageBreakBefore/>
      <w:spacing w:before="400" w:after="240" w:line="240" w:lineRule="auto"/>
      <w:outlineLvl w:val="0"/>
    </w:pPr>
    <w:rPr>
      <w:b/>
      <w:color w:val="1E3A5F"/>
      <w:sz w:val="40"/>
    </w:rPr>
  </w:style>
  <w:style w:type="paragraph" w:styleId="Heading2">
    <w:name w:val="heading 2"/>
    <w:basedOn w:val="Normal"/>
    <w:pPr>
      <w:keepNext/>
      <w:keepLines/>
      <w:spacing w:before="360" w:after="160"/>
      <w:outlineLvl w:val="1"/>
    </w:pPr>
    <w:rPr>
      <w:b/>
      <w:color w:val="2E5C8A"/>
      <w:sz w:val="28"/>
    </w:rPr>
  </w:style>
  <w:style w:type="paragraph" w:styleId="Heading3">
    <w:name w:val="heading 3"/>
    <w:basedOn w:val="Normal"/>
    <w:pPr>
      <w:keepNext/>
      <w:keepLines/>
      <w:spacing w:before="280" w:after="120"/>
      <w:outlineLvl w:val="2"/>
    </w:pPr>
    <w:rPr>
      <w:b/>
      <w:color w:val="2C3E50"/>
      <w:sz w:val="24"/>
    </w:rPr>
  </w:style>
  <w:style w:type="paragraph" w:styleId="Caption">
    <w:name w:val="Caption"/>
    <w:basedOn w:val="Normal"/>
    <w:pPr>
      <w:keepLines/>
      <w:spacing w:before="60" w:after="400"/>
      <w:jc w:val="center"/>
    </w:pPr>
    <w:rPr>
      <w:i/>
      <w:color w:val="7F8C8D"/>
      <w:sz w:val="20"/>
    </w:rPr>
  </w:style>
</w:styles>
</file>

<file path=word/_rels/document.xml.rels>&#65279;<?xml version="1.0" encoding="utf-8"?><Relationships xmlns="http://schemas.openxmlformats.org/package/2006/relationships"><Relationship Type="http://schemas.openxmlformats.org/officeDocument/2006/relationships/styles" Target="/word/styles.xml" Id="Re94767984c3d445b" /><Relationship Type="http://schemas.openxmlformats.org/officeDocument/2006/relationships/numbering" Target="/word/numbering.xml" Id="R92124f9bda984b22" /><Relationship Type="http://schemas.openxmlformats.org/officeDocument/2006/relationships/image" Target="/media/image.png" Id="Rdd936cafc0874481" /><Relationship Type="http://schemas.openxmlformats.org/officeDocument/2006/relationships/image" Target="/media/image2.png" Id="R4d748987006b485e" /><Relationship Type="http://schemas.openxmlformats.org/officeDocument/2006/relationships/image" Target="/media/image3.png" Id="Rf5bd70f5877849b5" /><Relationship Type="http://schemas.openxmlformats.org/officeDocument/2006/relationships/header" Target="/word/header1.xml" Id="R211dfde36adc4fbe" /><Relationship Type="http://schemas.openxmlformats.org/officeDocument/2006/relationships/footer" Target="/word/footer1.xml" Id="R359123399dc441ef" /><Relationship Type="http://schemas.openxmlformats.org/officeDocument/2006/relationships/settings" Target="/word/settings.xml" Id="R24d53f3609804a19" /></Relationships>
</file>

<file path=word/_rels/header1.xml.rels>&#65279;<?xml version="1.0" encoding="utf-8"?><Relationships xmlns="http://schemas.openxmlformats.org/package/2006/relationships"><Relationship Type="http://schemas.openxmlformats.org/officeDocument/2006/relationships/image" Target="/media/image4.png" Id="R07a7f604cf6c4aa8" /></Relationships>
</file>