
<file path=[Content_Types].xml><?xml version="1.0" encoding="utf-8"?>
<Types xmlns="http://schemas.openxmlformats.org/package/2006/content-types">
  <Default Extension="xml" ContentType="application/vnd.openxmlformats-officedocument.wordprocessingml.document.main+xml"/>
  <Default Extension="png" ContentType="image/png"/>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Types>
</file>

<file path=_rels/.rels>&#65279;<?xml version="1.0" encoding="utf-8"?><Relationships xmlns="http://schemas.openxmlformats.org/package/2006/relationships"><Relationship Type="http://schemas.openxmlformats.org/officeDocument/2006/relationships/officeDocument" Target="/word/document.xml" Id="R34a532ffda944f7c" /></Relationships>
</file>

<file path=word/document.xml><?xml version="1.0" encoding="utf-8"?>
<w:document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body>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1" name="CoverBackground"/>
            <wp:cNvGraphicFramePr>
              <a:graphicFrameLocks noChangeAspect="1"/>
            </wp:cNvGraphicFramePr>
            <a:graphic>
              <a:graphicData uri="http://schemas.openxmlformats.org/drawingml/2006/picture">
                <pic:pic>
                  <pic:nvPicPr>
                    <pic:cNvPr id="0" name="CoverBackground.png"/>
                    <pic:cNvPicPr/>
                  </pic:nvPicPr>
                  <pic:blipFill>
                    <a:blip r:embed="Rdc5b018ea029425a"/>
                    <a:stretch>
                      <a:fillRect/>
                    </a:stretch>
                  </pic:blipFill>
                  <pic:spPr>
                    <a:xfrm>
                      <a:off x="0" y="0"/>
                      <a:ext cx="7560000" cy="10692000"/>
                    </a:xfrm>
                    <a:prstGeom prst="rect"/>
                  </pic:spPr>
                </pic:pic>
              </a:graphicData>
            </a:graphic>
          </wp:anchor>
        </w:drawing>
      </w:r>
    </w:p>
    <w:p>
      <w:pPr>
        <w:spacing w:before="5000"/>
      </w:pPr>
      <w:r/>
    </w:p>
    <w:p>
      <w:pPr>
        <w:spacing w:after="200"/>
        <w:ind w:left="1200" w:right="1200"/>
        <w:jc w:val="left"/>
      </w:pPr>
      <w:r>
        <w:rPr>
          <w:b/>
          <w:color w:val="FFFFFF"/>
          <w:sz w:val="96"/>
        </w:rPr>
        <w:t>LifeVerse RP</w:t>
      </w:r>
    </w:p>
    <w:p>
      <w:pPr>
        <w:spacing w:after="600"/>
        <w:ind w:left="1200" w:right="1200"/>
        <w:jc w:val="left"/>
      </w:pPr>
      <w:r>
        <w:rPr>
          <w:color w:val="D4AF37"/>
          <w:sz w:val="44"/>
        </w:rPr>
        <w:t>White Paper</w:t>
      </w:r>
    </w:p>
    <w:p>
      <w:pPr>
        <w:spacing w:after="3000"/>
        <w:ind w:left="1200" w:right="1200"/>
        <w:jc w:val="left"/>
      </w:pPr>
      <w:r>
        <w:rPr>
          <w:color w:val="CCCCCC"/>
          <w:spacing w:val="30"/>
          <w:sz w:val="26"/>
        </w:rPr>
        <w:t>The Next Generation of Play-to-Earn Role-Playing Gaming</w:t>
      </w:r>
    </w:p>
    <w:p>
      <w:pPr>
        <w:spacing w:after="120"/>
        <w:ind w:left="1200"/>
        <w:jc w:val="left"/>
      </w:pPr>
      <w:r>
        <w:rPr>
          <w:color w:val="AAAAAA"/>
          <w:sz w:val="22"/>
        </w:rPr>
        <w:t>LifeVerse Technologies Ltd</w:t>
      </w:r>
    </w:p>
    <w:p>
      <w:pPr>
        <w:ind w:left="1200"/>
        <w:jc w:val="left"/>
      </w:pPr>
      <w:r>
        <w:rPr>
          <w:color w:val="888888"/>
          <w:sz w:val="20"/>
        </w:rPr>
        <w:t>Version 3.0 | March 2026</w:t>
      </w:r>
    </w:p>
    <w:p>
      <w:pPr>
        <w:sectPr>
          <w:type w:val="nextPage"/>
          <w:pgSz w:w="11906" w:h="16838"/>
          <w:pgMar w:top="0" w:right="0" w:bottom="0" w:left="0" w:header="0" w:footer="0"/>
        </w:sectPr>
      </w:pPr>
    </w:p>
    <w:p>
      <w:pPr>
        <w:spacing w:before="600" w:after="200"/>
      </w:pPr>
      <w:r>
        <w:rPr>
          <w:b/>
          <w:color w:val="4A90A4"/>
          <w:sz w:val="44"/>
        </w:rPr>
        <w:t>Table of Contents</w:t>
      </w:r>
    </w:p>
    <w:p>
      <w:pPr>
        <w:spacing w:after="400"/>
      </w:pPr>
      <w:r>
        <w:rPr>
          <w:color w:val="7F8C8D"/>
          <w:sz w:val="18"/>
        </w:rPr>
        <w:t>Right-click the TOC and select "Update Field" to refresh page numbers</w:t>
      </w:r>
    </w:p>
    <w:p>
      <w:r>
        <w:fldChar w:fldCharType="begin"/>
      </w:r>
      <w:r>
        <w:instrText xml:space="preserve"> TOC \o "1-3" \h \z \u </w:instrText>
      </w:r>
      <w:r>
        <w:fldChar w:fldCharType="separate"/>
      </w:r>
    </w:p>
    <w:p>
      <w:pPr>
        <w:pStyle w:val="TOC1"/>
      </w:pPr>
      <w:r>
        <w:t>Executive Summary</w:t>
      </w:r>
      <w:r>
        <w:tab/>
      </w:r>
      <w:r>
        <w:t>3</w:t>
      </w:r>
    </w:p>
    <w:p>
      <w:pPr>
        <w:pStyle w:val="TOC1"/>
      </w:pPr>
      <w:r>
        <w:t>Problem Statement</w:t>
      </w:r>
      <w:r>
        <w:tab/>
      </w:r>
      <w:r>
        <w:t>4</w:t>
      </w:r>
    </w:p>
    <w:p>
      <w:pPr>
        <w:pStyle w:val="TOC1"/>
      </w:pPr>
      <w:r>
        <w:t>The Solution: LifeVerse RP</w:t>
      </w:r>
      <w:r>
        <w:tab/>
      </w:r>
      <w:r>
        <w:t>5</w:t>
      </w:r>
    </w:p>
    <w:p>
      <w:pPr>
        <w:pStyle w:val="TOC2"/>
      </w:pPr>
      <w:r>
        <w:t>Game Overview</w:t>
      </w:r>
      <w:r>
        <w:tab/>
      </w:r>
      <w:r>
        <w:t>5</w:t>
      </w:r>
    </w:p>
    <w:p>
      <w:pPr>
        <w:pStyle w:val="TOC1"/>
      </w:pPr>
      <w:r>
        <w:t>LifeCoin (LFC) Blockchain</w:t>
      </w:r>
      <w:r>
        <w:tab/>
      </w:r>
      <w:r>
        <w:t>7</w:t>
      </w:r>
    </w:p>
    <w:p>
      <w:pPr>
        <w:pStyle w:val="TOC2"/>
      </w:pPr>
      <w:r>
        <w:t>Technology Architecture</w:t>
      </w:r>
      <w:r>
        <w:tab/>
      </w:r>
      <w:r>
        <w:t>7</w:t>
      </w:r>
    </w:p>
    <w:p>
      <w:pPr>
        <w:pStyle w:val="TOC2"/>
      </w:pPr>
      <w:r>
        <w:t>Tokenomics</w:t>
      </w:r>
      <w:r>
        <w:tab/>
      </w:r>
      <w:r>
        <w:t>8</w:t>
      </w:r>
    </w:p>
    <w:p>
      <w:pPr>
        <w:pStyle w:val="TOC1"/>
      </w:pPr>
      <w:r>
        <w:t>Dual-Currency Economy</w:t>
      </w:r>
      <w:r>
        <w:tab/>
      </w:r>
      <w:r>
        <w:t>9</w:t>
      </w:r>
    </w:p>
    <w:p>
      <w:pPr>
        <w:pStyle w:val="TOC1"/>
      </w:pPr>
      <w:r>
        <w:t>Game Mechanics</w:t>
      </w:r>
      <w:r>
        <w:tab/>
      </w:r>
      <w:r>
        <w:t>10</w:t>
      </w:r>
    </w:p>
    <w:p>
      <w:pPr>
        <w:pStyle w:val="TOC1"/>
      </w:pPr>
      <w:r>
        <w:t>Technical Architecture</w:t>
      </w:r>
      <w:r>
        <w:tab/>
      </w:r>
      <w:r>
        <w:t>12</w:t>
      </w:r>
    </w:p>
    <w:p>
      <w:pPr>
        <w:pStyle w:val="TOC1"/>
      </w:pPr>
      <w:r>
        <w:t>Roadmap</w:t>
      </w:r>
      <w:r>
        <w:tab/>
      </w:r>
      <w:r>
        <w:t>14</w:t>
      </w:r>
    </w:p>
    <w:p>
      <w:pPr>
        <w:pStyle w:val="TOC1"/>
      </w:pPr>
      <w:r>
        <w:t>Team &amp; Advisors</w:t>
      </w:r>
      <w:r>
        <w:tab/>
      </w:r>
      <w:r>
        <w:t>16</w:t>
      </w:r>
    </w:p>
    <w:p>
      <w:pPr>
        <w:pStyle w:val="TOC1"/>
      </w:pPr>
      <w:r>
        <w:t>Legal &amp; Compliance</w:t>
      </w:r>
      <w:r>
        <w:tab/>
      </w:r>
      <w:r>
        <w:t>17</w:t>
      </w:r>
    </w:p>
    <w:p>
      <w:pPr>
        <w:pStyle w:val="TOC1"/>
      </w:pPr>
      <w:r>
        <w:t>Risk Factors</w:t>
      </w:r>
      <w:r>
        <w:tab/>
      </w:r>
      <w:r>
        <w:t>18</w:t>
      </w:r>
    </w:p>
    <w:p>
      <w:r>
        <w:fldChar w:fldCharType="end"/>
      </w:r>
    </w:p>
    <w:p>
      <w:pPr>
        <w:sectPr>
          <w:type w:val="nextPage"/>
          <w:pgSz w:w="11906" w:h="16838"/>
          <w:pgMar w:top="1800" w:right="1440" w:bottom="1440" w:left="1440" w:header="720" w:footer="720"/>
        </w:sectPr>
      </w:pPr>
    </w:p>
    <w:p>
      <w:pPr>
        <w:pStyle w:val="Heading1"/>
      </w:pPr>
      <w:bookmarkStart w:name="_Toc001" w:id="001"/>
      <w:r>
        <w:t>Executive Summary</w:t>
      </w:r>
      <w:bookmarkEnd w:id="001"/>
    </w:p>
    <w:p>
      <w:r>
        <w:t>LifeVerse RP represents a paradigm shift in the gaming industry, combining immersive role-playing gameplay with blockchain technology to create a sustainable play-to-earn ecosystem. Built on Unity with direct LifeCoin blockchain integration, LifeVerse RP offers players unprecedented ownership of in-game assets through the LifeCoin (LFC) cryptocurrency.</w:t>
      </w:r>
    </w:p>
    <w:p>
      <w:r>
        <w:t>Our vision is to create the most comprehensive role-playing universe where players can live virtual lives, build careers, own property, form organizations, and earn real value through their in-game achievements. LifeVerse RP bridges the gap between traditional gaming and decentralized finance, offering a dual-currency system that maintains gameplay balance while enabling cryptocurrency rewards.</w:t>
      </w:r>
    </w:p>
    <w:p>
      <w:pPr>
        <w:pStyle w:val="Heading3"/>
      </w:pPr>
      <w:r>
        <w:t>Key Highlights</w:t>
      </w:r>
    </w:p>
    <w:p>
      <w:pPr>
        <w:numPr>
          <w:ilvl w:val="0"/>
          <w:numId w:val="2"/>
        </w:numPr>
      </w:pPr>
      <w:r>
        <w:t>Revolutionary dual-currency economy: Bulk (in-game) and LifeCoin (independent PoW blockchain)</w:t>
      </w:r>
    </w:p>
    <w:p>
      <w:pPr>
        <w:numPr>
          <w:ilvl w:val="0"/>
          <w:numId w:val="2"/>
        </w:numPr>
      </w:pPr>
      <w:r>
        <w:t>Independent Proof-of-Work blockchain with 84 million LFC total supply</w:t>
      </w:r>
    </w:p>
    <w:p>
      <w:pPr>
        <w:numPr>
          <w:ilvl w:val="0"/>
          <w:numId w:val="2"/>
        </w:numPr>
      </w:pPr>
      <w:r>
        <w:t>Massive multiplayer servers supporting 500+ concurrent players per city</w:t>
      </w:r>
    </w:p>
    <w:p>
      <w:pPr>
        <w:numPr>
          <w:ilvl w:val="0"/>
          <w:numId w:val="2"/>
        </w:numPr>
      </w:pPr>
      <w:r>
        <w:t>Comprehensive role-playing systems: jobs, housing, vehicles, gangs, military, courts</w:t>
      </w:r>
    </w:p>
    <w:p>
      <w:pPr>
        <w:numPr>
          <w:ilvl w:val="0"/>
          <w:numId w:val="2"/>
        </w:numPr>
      </w:pPr>
      <w:r>
        <w:t>True asset ownership through blockchain integration</w:t>
      </w:r>
    </w:p>
    <w:p>
      <w:pPr>
        <w:numPr>
          <w:ilvl w:val="0"/>
          <w:numId w:val="2"/>
        </w:numPr>
      </w:pPr>
      <w:r>
        <w:t>18-month development roadmap with clear milestones</w:t>
      </w:r>
    </w:p>
    <w:p>
      <w:pPr>
        <w:numPr>
          <w:ilvl w:val="0"/>
          <w:numId w:val="2"/>
        </w:numPr>
      </w:pPr>
      <w:r>
        <w:t>Estimated $20M-$40M total development budget</w:t>
      </w:r>
    </w:p>
    <w:p>
      <w:pPr>
        <w:pStyle w:val="Heading1"/>
      </w:pPr>
      <w:bookmarkStart w:name="_Toc002" w:id="002"/>
      <w:r>
        <w:t>Problem Statement</w:t>
      </w:r>
      <w:bookmarkEnd w:id="002"/>
    </w:p>
    <w:p>
      <w:pPr>
        <w:pStyle w:val="Heading2"/>
      </w:pPr>
      <w:r>
        <w:t>The Current Gaming Landscape</w:t>
      </w:r>
    </w:p>
    <w:p>
      <w:r>
        <w:t>The gaming industry faces several critical challenges that LifeVerse RP aims to solve:</w:t>
      </w:r>
    </w:p>
    <w:p>
      <w:pPr>
        <w:pStyle w:val="Heading3"/>
      </w:pPr>
      <w:r>
        <w:t>1. Lack of True Ownership</w:t>
      </w:r>
    </w:p>
    <w:p>
      <w:r>
        <w:t>Traditional games lock player assets within closed ecosystems. When servers shut down or players move on, years of progress and investment vanish. Players spend thousands of hours and dollars without any transferable value.</w:t>
      </w:r>
    </w:p>
    <w:p>
      <w:pPr>
        <w:pStyle w:val="Heading3"/>
      </w:pPr>
      <w:r>
        <w:t>2. Unsustainable Play-to-Earn Models</w:t>
      </w:r>
    </w:p>
    <w:p>
      <w:r>
        <w:t>Many blockchain games prioritize token speculation over gameplay quality, resulting in economies that collapse when early investors exit. Token inflation and unsustainable reward structures destroy long-term viability.</w:t>
      </w:r>
    </w:p>
    <w:p>
      <w:pPr>
        <w:pStyle w:val="Heading3"/>
      </w:pPr>
      <w:r>
        <w:t>3. Limited Role-Playing Depth</w:t>
      </w:r>
    </w:p>
    <w:p>
      <w:r>
        <w:t>Existing RP games either lack meaningful progression systems or fail to integrate player-driven economies effectively. The gap between casual gaming and immersive role-playing remains largely unaddressed.</w:t>
      </w:r>
    </w:p>
    <w:p>
      <w:pPr>
        <w:pStyle w:val="Heading3"/>
      </w:pPr>
      <w:r>
        <w:t>4. High Barriers to Entry</w:t>
      </w:r>
    </w:p>
    <w:p>
      <w:r>
        <w:t>Blockchain gaming often requires technical knowledge, expensive NFT purchases, and complex wallet setups that alienate mainstream gamers. The learning curve prevents mass adoption.</w:t>
      </w:r>
    </w:p>
    <w:p>
      <w:pPr>
        <w:pStyle w:val="Heading1"/>
      </w:pPr>
      <w:bookmarkStart w:name="_Toc003" w:id="003"/>
      <w:r>
        <w:t>The Solution: LifeVerse RP</w:t>
      </w:r>
      <w:bookmarkEnd w:id="003"/>
    </w:p>
    <w:p>
      <w:pPr>
        <w:pStyle w:val="Heading2"/>
      </w:pPr>
      <w:r>
        <w:t>Game Overview</w:t>
      </w:r>
    </w:p>
    <w:p>
      <w:r>
        <w:t>LifeVerse RP is a next-generation multiplayer role-playing game that combines the depth of traditional RP experiences with the economic opportunities of blockchain technology. Players enter a persistent virtual world where their actions have lasting consequences and real economic value.</w:t>
      </w:r>
    </w:p>
    <w:p>
      <w:pPr>
        <w:pStyle w:val="Heading3"/>
      </w:pPr>
      <w:r>
        <w:t>Core Features</w:t>
      </w:r>
    </w:p>
    <w:p>
      <w:pPr>
        <w:numPr>
          <w:ilvl w:val="0"/>
          <w:numId w:val="1"/>
        </w:numPr>
      </w:pPr>
      <w:r>
        <w:rPr>
          <w:b/>
        </w:rPr>
        <w:t>Dynamic City Ecosystems</w:t>
      </w:r>
      <w:r>
        <w:t>: Multiple interconnected cities each with unique economies, job markets, and criminal activities</w:t>
      </w:r>
    </w:p>
    <w:p>
      <w:pPr>
        <w:numPr>
          <w:ilvl w:val="0"/>
          <w:numId w:val="1"/>
        </w:numPr>
      </w:pPr>
      <w:r>
        <w:rPr>
          <w:b/>
        </w:rPr>
        <w:t>Comprehensive Career System</w:t>
      </w:r>
      <w:r>
        <w:t>: Over 50 legitimate and criminal career paths with progression, specialization, and skill development</w:t>
      </w:r>
    </w:p>
    <w:p>
      <w:pPr>
        <w:numPr>
          <w:ilvl w:val="0"/>
          <w:numId w:val="1"/>
        </w:numPr>
      </w:pPr>
      <w:r>
        <w:rPr>
          <w:b/>
        </w:rPr>
        <w:t>Property &amp; Business Ownership</w:t>
      </w:r>
      <w:r>
        <w:t>: Purchase, customize, and operate properties that generate passive income</w:t>
      </w:r>
    </w:p>
    <w:p>
      <w:pPr>
        <w:numPr>
          <w:ilvl w:val="0"/>
          <w:numId w:val="1"/>
        </w:numPr>
      </w:pPr>
      <w:r>
        <w:rPr>
          <w:b/>
        </w:rPr>
        <w:t>Vehicle Economy</w:t>
      </w:r>
      <w:r>
        <w:t>: Own, customize, trade, and operate vehicles ranging from civilian cars to military hardware</w:t>
      </w:r>
    </w:p>
    <w:p>
      <w:pPr>
        <w:numPr>
          <w:ilvl w:val="0"/>
          <w:numId w:val="1"/>
        </w:numPr>
      </w:pPr>
      <w:r>
        <w:rPr>
          <w:b/>
        </w:rPr>
        <w:t>Organizational Systems</w:t>
      </w:r>
      <w:r>
        <w:t>: Form gangs, corporations, police departments, and military units with hierarchical structures</w:t>
      </w:r>
    </w:p>
    <w:p>
      <w:pPr>
        <w:numPr>
          <w:ilvl w:val="0"/>
          <w:numId w:val="1"/>
        </w:numPr>
      </w:pPr>
      <w:r>
        <w:rPr>
          <w:b/>
        </w:rPr>
        <w:t>Legal Framework</w:t>
      </w:r>
      <w:r>
        <w:t>: Courts, prisons, and law enforcement create consequences for criminal activities</w:t>
      </w:r>
    </w:p>
    <w:p>
      <w:pPr>
        <w:pStyle w:val="Heading1"/>
      </w:pPr>
      <w:bookmarkStart w:name="_Toc004" w:id="004"/>
      <w:r>
        <w:t>LifeCoin (LFC) Blockchain</w:t>
      </w:r>
      <w:bookmarkEnd w:id="004"/>
    </w:p>
    <w:p>
      <w:pPr>
        <w:pStyle w:val="Heading2"/>
      </w:pPr>
      <w:r>
        <w:t>Technology Architecture</w:t>
      </w:r>
    </w:p>
    <w:p>
      <w:r>
        <w:t>LifeCoin (LFC) is an independent decentralized Proof-of-Work blockchain built for fast and low-cost global transactions. Unlike many gaming tokens that rely on existing networks, LifeCoin operates on its own blockchain, ensuring complete sovereignty and flexibility.</w:t>
      </w:r>
    </w:p>
    <w:p>
      <w:pPr>
        <w:pStyle w:val="Heading3"/>
      </w:pPr>
      <w:r>
        <w:t>Technical Specifications</w:t>
      </w:r>
    </w:p>
    <w:tbl>
      <w:tblPr>
        <w:tblW w:w="5000" w:type="pct"/>
        <w:tblBorders>
          <w:top w:val="single" w:color="4A90A4" w:sz="12"/>
          <w:left w:val="nil"/>
          <w:bottom w:val="single" w:color="4A90A4" w:sz="12"/>
          <w:right w:val="nil"/>
          <w:insideH w:val="nil"/>
          <w:insideV w:val="nil"/>
        </w:tblBorders>
        <w:tblCellMar>
          <w:top w:w="120" w:type="dxa"/>
          <w:left w:w="150" w:type="dxa"/>
          <w:bottom w:w="120" w:type="dxa"/>
          <w:right w:w="150" w:type="dxa"/>
        </w:tblCellMar>
      </w:tblPr>
      <w:tblGrid>
        <w:gridCol w:w="4000"/>
        <w:gridCol w:w="6000"/>
      </w:tblGrid>
      <w:tr>
        <w:trPr>
          <w:tblHeader/>
          <w:trHeight w:val="400" w:hRule="atLeast"/>
        </w:trPr>
        <w:tc>
          <w:tcPr>
            <w:tcW w:w="4000" w:type="dxa"/>
            <w:tcBorders>
              <w:bottom w:val="single" w:color="4A90A4" w:sz="6"/>
            </w:tcBorders>
            <w:shd w:val="clear" w:fill="E8F4F8"/>
            <w:vAlign w:val="center"/>
          </w:tcPr>
          <w:p>
            <w:pPr>
              <w:spacing w:before="0" w:after="0"/>
              <w:jc w:val="center"/>
            </w:pPr>
            <w:r>
              <w:rPr>
                <w:b/>
                <w:color w:val="2C3E50"/>
                <w:sz w:val="21"/>
              </w:rPr>
              <w:t>Specification</w:t>
            </w:r>
          </w:p>
        </w:tc>
        <w:tc>
          <w:tcPr>
            <w:tcW w:w="6000" w:type="dxa"/>
            <w:tcBorders>
              <w:bottom w:val="single" w:color="4A90A4" w:sz="6"/>
            </w:tcBorders>
            <w:shd w:val="clear" w:fill="E8F4F8"/>
            <w:vAlign w:val="center"/>
          </w:tcPr>
          <w:p>
            <w:pPr>
              <w:spacing w:before="0" w:after="0"/>
              <w:jc w:val="center"/>
            </w:pPr>
            <w:r>
              <w:rPr>
                <w:b/>
                <w:color w:val="2C3E50"/>
                <w:sz w:val="21"/>
              </w:rPr>
              <w:t>Details</w:t>
            </w:r>
          </w:p>
        </w:tc>
      </w:tr>
      <w:tr>
        <w:trPr>
          <w:trHeight w:val="360" w:hRule="atLeast"/>
        </w:trPr>
        <w:tc>
          <w:tcPr>
            <w:tcW w:w="4000" w:type="dxa"/>
            <w:vAlign w:val="center"/>
          </w:tcPr>
          <w:p>
            <w:pPr>
              <w:spacing w:before="0" w:after="0"/>
              <w:jc w:val="left"/>
            </w:pPr>
            <w:r>
              <w:rPr>
                <w:color w:val="2C3E50"/>
                <w:sz w:val="21"/>
              </w:rPr>
              <w:t>Algorithm</w:t>
            </w:r>
          </w:p>
        </w:tc>
        <w:tc>
          <w:tcPr>
            <w:tcW w:w="6000" w:type="dxa"/>
            <w:vAlign w:val="center"/>
          </w:tcPr>
          <w:p>
            <w:pPr>
              <w:spacing w:before="0" w:after="0"/>
              <w:jc w:val="left"/>
            </w:pPr>
            <w:r>
              <w:rPr>
                <w:color w:val="2C3E50"/>
                <w:sz w:val="21"/>
              </w:rPr>
              <w:t>Scrypt (GPU/CPU friendly)</w:t>
            </w:r>
          </w:p>
        </w:tc>
      </w:tr>
      <w:tr>
        <w:trPr>
          <w:trHeight w:val="360" w:hRule="atLeast"/>
        </w:trPr>
        <w:tc>
          <w:tcPr>
            <w:tcW w:w="4000" w:type="dxa"/>
            <w:vAlign w:val="center"/>
          </w:tcPr>
          <w:p>
            <w:pPr>
              <w:spacing w:before="0" w:after="0"/>
              <w:jc w:val="left"/>
            </w:pPr>
            <w:r>
              <w:rPr>
                <w:color w:val="2C3E50"/>
                <w:sz w:val="21"/>
              </w:rPr>
              <w:t>Model</w:t>
            </w:r>
          </w:p>
        </w:tc>
        <w:tc>
          <w:tcPr>
            <w:tcW w:w="6000" w:type="dxa"/>
            <w:vAlign w:val="center"/>
          </w:tcPr>
          <w:p>
            <w:pPr>
              <w:spacing w:before="0" w:after="0"/>
              <w:jc w:val="left"/>
            </w:pPr>
            <w:r>
              <w:rPr>
                <w:color w:val="2C3E50"/>
                <w:sz w:val="21"/>
              </w:rPr>
              <w:t>UTXO with ECDSA cryptography</w:t>
            </w:r>
          </w:p>
        </w:tc>
      </w:tr>
      <w:tr>
        <w:trPr>
          <w:trHeight w:val="360" w:hRule="atLeast"/>
        </w:trPr>
        <w:tc>
          <w:tcPr>
            <w:tcW w:w="4000" w:type="dxa"/>
            <w:vAlign w:val="center"/>
          </w:tcPr>
          <w:p>
            <w:pPr>
              <w:spacing w:before="0" w:after="0"/>
              <w:jc w:val="left"/>
            </w:pPr>
            <w:r>
              <w:rPr>
                <w:color w:val="2C3E50"/>
                <w:sz w:val="21"/>
              </w:rPr>
              <w:t>Base Architecture</w:t>
            </w:r>
          </w:p>
        </w:tc>
        <w:tc>
          <w:tcPr>
            <w:tcW w:w="6000" w:type="dxa"/>
            <w:vAlign w:val="center"/>
          </w:tcPr>
          <w:p>
            <w:pPr>
              <w:spacing w:before="0" w:after="0"/>
              <w:jc w:val="left"/>
            </w:pPr>
            <w:r>
              <w:rPr>
                <w:color w:val="2C3E50"/>
                <w:sz w:val="21"/>
              </w:rPr>
              <w:t>Litecoin Core</w:t>
            </w:r>
          </w:p>
        </w:tc>
      </w:tr>
      <w:tr>
        <w:trPr>
          <w:trHeight w:val="360" w:hRule="atLeast"/>
        </w:trPr>
        <w:tc>
          <w:tcPr>
            <w:tcW w:w="4000" w:type="dxa"/>
            <w:vAlign w:val="center"/>
          </w:tcPr>
          <w:p>
            <w:pPr>
              <w:spacing w:before="0" w:after="0"/>
              <w:jc w:val="left"/>
            </w:pPr>
            <w:r>
              <w:rPr>
                <w:color w:val="2C3E50"/>
                <w:sz w:val="21"/>
              </w:rPr>
              <w:t>Network</w:t>
            </w:r>
          </w:p>
        </w:tc>
        <w:tc>
          <w:tcPr>
            <w:tcW w:w="6000" w:type="dxa"/>
            <w:vAlign w:val="center"/>
          </w:tcPr>
          <w:p>
            <w:pPr>
              <w:spacing w:before="0" w:after="0"/>
              <w:jc w:val="left"/>
            </w:pPr>
            <w:r>
              <w:rPr>
                <w:color w:val="2C3E50"/>
                <w:sz w:val="21"/>
              </w:rPr>
              <w:t>Independent blockchain</w:t>
            </w:r>
          </w:p>
        </w:tc>
      </w:tr>
      <w:tr>
        <w:trPr>
          <w:trHeight w:val="360" w:hRule="atLeast"/>
        </w:trPr>
        <w:tc>
          <w:tcPr>
            <w:tcW w:w="4000" w:type="dxa"/>
            <w:vAlign w:val="center"/>
          </w:tcPr>
          <w:p>
            <w:pPr>
              <w:spacing w:before="0" w:after="0"/>
              <w:jc w:val="left"/>
            </w:pPr>
            <w:r>
              <w:rPr>
                <w:color w:val="2C3E50"/>
                <w:sz w:val="21"/>
              </w:rPr>
              <w:t>Block Time</w:t>
            </w:r>
          </w:p>
        </w:tc>
        <w:tc>
          <w:tcPr>
            <w:tcW w:w="6000" w:type="dxa"/>
            <w:vAlign w:val="center"/>
          </w:tcPr>
          <w:p>
            <w:pPr>
              <w:spacing w:before="0" w:after="0"/>
              <w:jc w:val="left"/>
            </w:pPr>
            <w:r>
              <w:rPr>
                <w:color w:val="2C3E50"/>
                <w:sz w:val="21"/>
              </w:rPr>
              <w:t>60 seconds</w:t>
            </w:r>
          </w:p>
        </w:tc>
      </w:tr>
      <w:tr>
        <w:trPr>
          <w:trHeight w:val="360" w:hRule="atLeast"/>
        </w:trPr>
        <w:tc>
          <w:tcPr>
            <w:tcW w:w="4000" w:type="dxa"/>
            <w:vAlign w:val="center"/>
          </w:tcPr>
          <w:p>
            <w:pPr>
              <w:spacing w:before="0" w:after="0"/>
              <w:jc w:val="left"/>
            </w:pPr>
            <w:r>
              <w:rPr>
                <w:color w:val="2C3E50"/>
                <w:sz w:val="21"/>
              </w:rPr>
              <w:t>Block Reward</w:t>
            </w:r>
          </w:p>
        </w:tc>
        <w:tc>
          <w:tcPr>
            <w:tcW w:w="6000" w:type="dxa"/>
            <w:vAlign w:val="center"/>
          </w:tcPr>
          <w:p>
            <w:pPr>
              <w:spacing w:before="0" w:after="0"/>
              <w:jc w:val="left"/>
            </w:pPr>
            <w:r>
              <w:rPr>
                <w:color w:val="2C3E50"/>
                <w:sz w:val="21"/>
              </w:rPr>
              <w:t>50 LFC</w:t>
            </w:r>
          </w:p>
        </w:tc>
      </w:tr>
      <w:tr>
        <w:trPr>
          <w:trHeight w:val="360" w:hRule="atLeast"/>
        </w:trPr>
        <w:tc>
          <w:tcPr>
            <w:tcW w:w="4000" w:type="dxa"/>
            <w:vAlign w:val="center"/>
          </w:tcPr>
          <w:p>
            <w:pPr>
              <w:spacing w:before="0" w:after="0"/>
              <w:jc w:val="left"/>
            </w:pPr>
            <w:r>
              <w:rPr>
                <w:color w:val="2C3E50"/>
                <w:sz w:val="21"/>
              </w:rPr>
              <w:t>Halving Interval</w:t>
            </w:r>
          </w:p>
        </w:tc>
        <w:tc>
          <w:tcPr>
            <w:tcW w:w="6000" w:type="dxa"/>
            <w:vAlign w:val="center"/>
          </w:tcPr>
          <w:p>
            <w:pPr>
              <w:spacing w:before="0" w:after="0"/>
              <w:jc w:val="left"/>
            </w:pPr>
            <w:r>
              <w:rPr>
                <w:color w:val="2C3E50"/>
                <w:sz w:val="21"/>
              </w:rPr>
              <w:t>Every 840,000 blocks</w:t>
            </w:r>
          </w:p>
        </w:tc>
      </w:tr>
    </w:tbl>
    <w:p>
      <w:pPr>
        <w:pStyle w:val="Caption"/>
      </w:pPr>
      <w:r>
        <w:t>Table 1: LifeCoin Technical Specifications</w:t>
      </w:r>
    </w:p>
    <w:p>
      <w:pPr>
        <w:pStyle w:val="Heading2"/>
      </w:pPr>
      <w:r>
        <w:t>Tokenomics</w:t>
      </w:r>
    </w:p>
    <w:p>
      <w:r>
        <w:t>LifeCoin features a fair distribution model with 100% of tokens distributed through mining. There is no premine, no ICO, and no founder allocation, ensuring a truly decentralized and community-driven cryptocurrency.</w:t>
      </w:r>
    </w:p>
    <w:p>
      <w:pPr>
        <w:pStyle w:val="Heading3"/>
      </w:pPr>
      <w:r>
        <w:t>Distribution Model</w:t>
      </w:r>
    </w:p>
    <w:tbl>
      <w:tblPr>
        <w:tblW w:w="5000" w:type="pct"/>
        <w:tblBorders>
          <w:top w:val="single" w:color="4A90A4" w:sz="12"/>
          <w:left w:val="nil"/>
          <w:bottom w:val="single" w:color="4A90A4" w:sz="12"/>
          <w:right w:val="nil"/>
          <w:insideH w:val="nil"/>
          <w:insideV w:val="nil"/>
        </w:tblBorders>
        <w:tblCellMar>
          <w:top w:w="120" w:type="dxa"/>
          <w:left w:w="150" w:type="dxa"/>
          <w:bottom w:w="120" w:type="dxa"/>
          <w:right w:w="150" w:type="dxa"/>
        </w:tblCellMar>
      </w:tblPr>
      <w:tblGrid>
        <w:gridCol w:w="4000"/>
        <w:gridCol w:w="3000"/>
        <w:gridCol w:w="3000"/>
      </w:tblGrid>
      <w:tr>
        <w:trPr>
          <w:tblHeader/>
          <w:trHeight w:val="400" w:hRule="atLeast"/>
        </w:trPr>
        <w:tc>
          <w:tcPr>
            <w:tcW w:w="4000" w:type="dxa"/>
            <w:tcBorders>
              <w:bottom w:val="single" w:color="4A90A4" w:sz="6"/>
            </w:tcBorders>
            <w:shd w:val="clear" w:fill="E8F4F8"/>
            <w:vAlign w:val="center"/>
          </w:tcPr>
          <w:p>
            <w:pPr>
              <w:spacing w:before="0" w:after="0"/>
              <w:jc w:val="center"/>
            </w:pPr>
            <w:r>
              <w:rPr>
                <w:b/>
                <w:color w:val="2C3E50"/>
                <w:sz w:val="21"/>
              </w:rPr>
              <w:t>Parameter</w:t>
            </w:r>
          </w:p>
        </w:tc>
        <w:tc>
          <w:tcPr>
            <w:tcW w:w="3000" w:type="dxa"/>
            <w:tcBorders>
              <w:bottom w:val="single" w:color="4A90A4" w:sz="6"/>
            </w:tcBorders>
            <w:shd w:val="clear" w:fill="E8F4F8"/>
            <w:vAlign w:val="center"/>
          </w:tcPr>
          <w:p>
            <w:pPr>
              <w:spacing w:before="0" w:after="0"/>
              <w:jc w:val="center"/>
            </w:pPr>
            <w:r>
              <w:rPr>
                <w:b/>
                <w:color w:val="2C3E50"/>
                <w:sz w:val="21"/>
              </w:rPr>
              <w:t>Value</w:t>
            </w:r>
          </w:p>
        </w:tc>
        <w:tc>
          <w:tcPr>
            <w:tcW w:w="3000" w:type="dxa"/>
            <w:tcBorders>
              <w:bottom w:val="single" w:color="4A90A4" w:sz="6"/>
            </w:tcBorders>
            <w:shd w:val="clear" w:fill="E8F4F8"/>
            <w:vAlign w:val="center"/>
          </w:tcPr>
          <w:p>
            <w:pPr>
              <w:spacing w:before="0" w:after="0"/>
              <w:jc w:val="center"/>
            </w:pPr>
            <w:r>
              <w:rPr>
                <w:b/>
                <w:color w:val="2C3E50"/>
                <w:sz w:val="21"/>
              </w:rPr>
              <w:t>Notes</w:t>
            </w:r>
          </w:p>
        </w:tc>
      </w:tr>
      <w:tr>
        <w:trPr>
          <w:trHeight w:val="360" w:hRule="atLeast"/>
        </w:trPr>
        <w:tc>
          <w:tcPr>
            <w:tcW w:w="4000" w:type="dxa"/>
            <w:vAlign w:val="center"/>
          </w:tcPr>
          <w:p>
            <w:pPr>
              <w:spacing w:before="0" w:after="0"/>
              <w:jc w:val="left"/>
            </w:pPr>
            <w:r>
              <w:rPr>
                <w:color w:val="2C3E50"/>
                <w:sz w:val="21"/>
              </w:rPr>
              <w:t>Total Supply</w:t>
            </w:r>
          </w:p>
        </w:tc>
        <w:tc>
          <w:tcPr>
            <w:tcW w:w="3000" w:type="dxa"/>
            <w:vAlign w:val="center"/>
          </w:tcPr>
          <w:p>
            <w:pPr>
              <w:spacing w:before="0" w:after="0"/>
              <w:jc w:val="left"/>
            </w:pPr>
            <w:r>
              <w:rPr>
                <w:color w:val="2C3E50"/>
                <w:sz w:val="21"/>
              </w:rPr>
              <w:t>84,000,000 LFC</w:t>
            </w:r>
          </w:p>
        </w:tc>
        <w:tc>
          <w:tcPr>
            <w:tcW w:w="3000" w:type="dxa"/>
            <w:vAlign w:val="center"/>
          </w:tcPr>
          <w:p>
            <w:pPr>
              <w:spacing w:before="0" w:after="0"/>
              <w:jc w:val="left"/>
            </w:pPr>
            <w:r>
              <w:rPr>
                <w:color w:val="2C3E50"/>
                <w:sz w:val="21"/>
              </w:rPr>
              <w:t>Fixed supply cap</w:t>
            </w:r>
          </w:p>
        </w:tc>
      </w:tr>
      <w:tr>
        <w:trPr>
          <w:trHeight w:val="360" w:hRule="atLeast"/>
        </w:trPr>
        <w:tc>
          <w:tcPr>
            <w:tcW w:w="4000" w:type="dxa"/>
            <w:vAlign w:val="center"/>
          </w:tcPr>
          <w:p>
            <w:pPr>
              <w:spacing w:before="0" w:after="0"/>
              <w:jc w:val="left"/>
            </w:pPr>
            <w:r>
              <w:rPr>
                <w:color w:val="2C3E50"/>
                <w:sz w:val="21"/>
              </w:rPr>
              <w:t>Distribution Method</w:t>
            </w:r>
          </w:p>
        </w:tc>
        <w:tc>
          <w:tcPr>
            <w:tcW w:w="3000" w:type="dxa"/>
            <w:vAlign w:val="center"/>
          </w:tcPr>
          <w:p>
            <w:pPr>
              <w:spacing w:before="0" w:after="0"/>
              <w:jc w:val="left"/>
            </w:pPr>
            <w:r>
              <w:rPr>
                <w:color w:val="2C3E50"/>
                <w:sz w:val="21"/>
              </w:rPr>
              <w:t>100% Mining</w:t>
            </w:r>
          </w:p>
        </w:tc>
        <w:tc>
          <w:tcPr>
            <w:tcW w:w="3000" w:type="dxa"/>
            <w:vAlign w:val="center"/>
          </w:tcPr>
          <w:p>
            <w:pPr>
              <w:spacing w:before="0" w:after="0"/>
              <w:jc w:val="left"/>
            </w:pPr>
            <w:r>
              <w:rPr>
                <w:color w:val="2C3E50"/>
                <w:sz w:val="21"/>
              </w:rPr>
              <w:t>No premine, no ICO</w:t>
            </w:r>
          </w:p>
        </w:tc>
      </w:tr>
      <w:tr>
        <w:trPr>
          <w:trHeight w:val="360" w:hRule="atLeast"/>
        </w:trPr>
        <w:tc>
          <w:tcPr>
            <w:tcW w:w="4000" w:type="dxa"/>
            <w:vAlign w:val="center"/>
          </w:tcPr>
          <w:p>
            <w:pPr>
              <w:spacing w:before="0" w:after="0"/>
              <w:jc w:val="left"/>
            </w:pPr>
            <w:r>
              <w:rPr>
                <w:color w:val="2C3E50"/>
                <w:sz w:val="21"/>
              </w:rPr>
              <w:t>Founder Allocation</w:t>
            </w:r>
          </w:p>
        </w:tc>
        <w:tc>
          <w:tcPr>
            <w:tcW w:w="3000" w:type="dxa"/>
            <w:vAlign w:val="center"/>
          </w:tcPr>
          <w:p>
            <w:pPr>
              <w:spacing w:before="0" w:after="0"/>
              <w:jc w:val="left"/>
            </w:pPr>
            <w:r>
              <w:rPr>
                <w:color w:val="2C3E50"/>
                <w:sz w:val="21"/>
              </w:rPr>
              <w:t>0%</w:t>
            </w:r>
          </w:p>
        </w:tc>
        <w:tc>
          <w:tcPr>
            <w:tcW w:w="3000" w:type="dxa"/>
            <w:vAlign w:val="center"/>
          </w:tcPr>
          <w:p>
            <w:pPr>
              <w:spacing w:before="0" w:after="0"/>
              <w:jc w:val="left"/>
            </w:pPr>
            <w:r>
              <w:rPr>
                <w:color w:val="2C3E50"/>
                <w:sz w:val="21"/>
              </w:rPr>
              <w:t>Fair launch</w:t>
            </w:r>
          </w:p>
        </w:tc>
      </w:tr>
      <w:tr>
        <w:trPr>
          <w:trHeight w:val="360" w:hRule="atLeast"/>
        </w:trPr>
        <w:tc>
          <w:tcPr>
            <w:tcW w:w="4000" w:type="dxa"/>
            <w:vAlign w:val="center"/>
          </w:tcPr>
          <w:p>
            <w:pPr>
              <w:spacing w:before="0" w:after="0"/>
              <w:jc w:val="left"/>
            </w:pPr>
            <w:r>
              <w:rPr>
                <w:color w:val="2C3E50"/>
                <w:sz w:val="21"/>
              </w:rPr>
              <w:t>Initial Block Reward</w:t>
            </w:r>
          </w:p>
        </w:tc>
        <w:tc>
          <w:tcPr>
            <w:tcW w:w="3000" w:type="dxa"/>
            <w:vAlign w:val="center"/>
          </w:tcPr>
          <w:p>
            <w:pPr>
              <w:spacing w:before="0" w:after="0"/>
              <w:jc w:val="left"/>
            </w:pPr>
            <w:r>
              <w:rPr>
                <w:color w:val="2C3E50"/>
                <w:sz w:val="21"/>
              </w:rPr>
              <w:t>50 LFC</w:t>
            </w:r>
          </w:p>
        </w:tc>
        <w:tc>
          <w:tcPr>
            <w:tcW w:w="3000" w:type="dxa"/>
            <w:vAlign w:val="center"/>
          </w:tcPr>
          <w:p>
            <w:pPr>
              <w:spacing w:before="0" w:after="0"/>
              <w:jc w:val="left"/>
            </w:pPr>
            <w:r>
              <w:rPr>
                <w:color w:val="2C3E50"/>
                <w:sz w:val="21"/>
              </w:rPr>
              <w:t>Decreases with halving</w:t>
            </w:r>
          </w:p>
        </w:tc>
      </w:tr>
    </w:tbl>
    <w:p>
      <w:pPr>
        <w:pStyle w:val="Caption"/>
      </w:pPr>
      <w:r>
        <w:t>Table 2: LifeCoin Distribution Model</w:t>
      </w:r>
    </w:p>
    <w:p>
      <w:pPr>
        <w:pStyle w:val="Heading3"/>
      </w:pPr>
      <w:r>
        <w:t>Use Cases</w:t>
      </w:r>
    </w:p>
    <w:p>
      <w:pPr>
        <w:numPr>
          <w:ilvl w:val="0"/>
          <w:numId w:val="2"/>
        </w:numPr>
      </w:pPr>
      <w:r>
        <w:t>Global remittances and peer-to-peer payments</w:t>
      </w:r>
    </w:p>
    <w:p>
      <w:pPr>
        <w:numPr>
          <w:ilvl w:val="0"/>
          <w:numId w:val="2"/>
        </w:numPr>
      </w:pPr>
      <w:r>
        <w:t>In-game purchases and marketplace transactions in LifeVerse RP</w:t>
      </w:r>
    </w:p>
    <w:p>
      <w:pPr>
        <w:numPr>
          <w:ilvl w:val="0"/>
          <w:numId w:val="2"/>
        </w:numPr>
      </w:pPr>
      <w:r>
        <w:t>Staking for passive income and governance rights</w:t>
      </w:r>
    </w:p>
    <w:p>
      <w:pPr>
        <w:numPr>
          <w:ilvl w:val="0"/>
          <w:numId w:val="2"/>
        </w:numPr>
      </w:pPr>
      <w:r>
        <w:t>Future DeFi ecosystem integration</w:t>
      </w:r>
    </w:p>
    <w:p>
      <w:pPr>
        <w:pStyle w:val="Heading1"/>
      </w:pPr>
      <w:bookmarkStart w:name="_Toc005" w:id="005"/>
      <w:r>
        <w:t>Dual-Currency Economy</w:t>
      </w:r>
      <w:bookmarkEnd w:id="005"/>
    </w:p>
    <w:p>
      <w:r>
        <w:t>LifeVerse RP implements a sophisticated dual-currency system designed to maintain gameplay balance while enabling cryptocurrency integration:</w:t>
      </w:r>
    </w:p>
    <w:tbl>
      <w:tblPr>
        <w:tblW w:w="5000" w:type="pct"/>
        <w:tblBorders>
          <w:top w:val="single" w:color="4A90A4" w:sz="12"/>
          <w:left w:val="nil"/>
          <w:bottom w:val="single" w:color="4A90A4" w:sz="12"/>
          <w:right w:val="nil"/>
          <w:insideH w:val="nil"/>
          <w:insideV w:val="nil"/>
        </w:tblBorders>
        <w:tblCellMar>
          <w:top w:w="120" w:type="dxa"/>
          <w:left w:w="150" w:type="dxa"/>
          <w:bottom w:w="120" w:type="dxa"/>
          <w:right w:w="150" w:type="dxa"/>
        </w:tblCellMar>
      </w:tblPr>
      <w:tblGrid>
        <w:gridCol w:w="2500"/>
        <w:gridCol w:w="3750"/>
        <w:gridCol w:w="3750"/>
      </w:tblGrid>
      <w:tr>
        <w:trPr>
          <w:tblHeader/>
          <w:trHeight w:val="400" w:hRule="atLeast"/>
        </w:trPr>
        <w:tc>
          <w:tcPr>
            <w:tcW w:w="2500" w:type="dxa"/>
            <w:tcBorders>
              <w:bottom w:val="single" w:color="4A90A4" w:sz="6"/>
            </w:tcBorders>
            <w:shd w:val="clear" w:fill="E8F4F8"/>
            <w:vAlign w:val="center"/>
          </w:tcPr>
          <w:p>
            <w:pPr>
              <w:spacing w:before="0" w:after="0"/>
              <w:jc w:val="center"/>
            </w:pPr>
            <w:r>
              <w:rPr>
                <w:b/>
                <w:color w:val="2C3E50"/>
                <w:sz w:val="21"/>
              </w:rPr>
              <w:t>Feature</w:t>
            </w:r>
          </w:p>
        </w:tc>
        <w:tc>
          <w:tcPr>
            <w:tcW w:w="3750" w:type="dxa"/>
            <w:tcBorders>
              <w:bottom w:val="single" w:color="4A90A4" w:sz="6"/>
            </w:tcBorders>
            <w:shd w:val="clear" w:fill="E8F4F8"/>
            <w:vAlign w:val="center"/>
          </w:tcPr>
          <w:p>
            <w:pPr>
              <w:spacing w:before="0" w:after="0"/>
              <w:jc w:val="center"/>
            </w:pPr>
            <w:r>
              <w:rPr>
                <w:b/>
                <w:color w:val="2C3E50"/>
                <w:sz w:val="21"/>
              </w:rPr>
              <w:t>Bulk (In-Game)</w:t>
            </w:r>
          </w:p>
        </w:tc>
        <w:tc>
          <w:tcPr>
            <w:tcW w:w="3750" w:type="dxa"/>
            <w:tcBorders>
              <w:bottom w:val="single" w:color="4A90A4" w:sz="6"/>
            </w:tcBorders>
            <w:shd w:val="clear" w:fill="E8F4F8"/>
            <w:vAlign w:val="center"/>
          </w:tcPr>
          <w:p>
            <w:pPr>
              <w:spacing w:before="0" w:after="0"/>
              <w:jc w:val="center"/>
            </w:pPr>
            <w:r>
              <w:rPr>
                <w:b/>
                <w:color w:val="2C3E50"/>
                <w:sz w:val="21"/>
              </w:rPr>
              <w:t>LifeCoin (LFC)</w:t>
            </w:r>
          </w:p>
        </w:tc>
      </w:tr>
      <w:tr>
        <w:trPr>
          <w:trHeight w:val="360" w:hRule="atLeast"/>
        </w:trPr>
        <w:tc>
          <w:tcPr>
            <w:tcW w:w="2500" w:type="dxa"/>
            <w:vAlign w:val="center"/>
          </w:tcPr>
          <w:p>
            <w:pPr>
              <w:spacing w:before="0" w:after="0"/>
              <w:jc w:val="left"/>
            </w:pPr>
            <w:r>
              <w:rPr>
                <w:color w:val="2C3E50"/>
                <w:sz w:val="21"/>
              </w:rPr>
              <w:t>Type</w:t>
            </w:r>
          </w:p>
        </w:tc>
        <w:tc>
          <w:tcPr>
            <w:tcW w:w="3750" w:type="dxa"/>
            <w:vAlign w:val="center"/>
          </w:tcPr>
          <w:p>
            <w:pPr>
              <w:spacing w:before="0" w:after="0"/>
              <w:jc w:val="left"/>
            </w:pPr>
            <w:r>
              <w:rPr>
                <w:color w:val="2C3E50"/>
                <w:sz w:val="21"/>
              </w:rPr>
              <w:t>Virtual currency</w:t>
            </w:r>
          </w:p>
        </w:tc>
        <w:tc>
          <w:tcPr>
            <w:tcW w:w="3750" w:type="dxa"/>
            <w:vAlign w:val="center"/>
          </w:tcPr>
          <w:p>
            <w:pPr>
              <w:spacing w:before="0" w:after="0"/>
              <w:jc w:val="left"/>
            </w:pPr>
            <w:r>
              <w:rPr>
                <w:color w:val="2C3E50"/>
                <w:sz w:val="21"/>
              </w:rPr>
              <w:t>Independent PoW blockchain</w:t>
            </w:r>
          </w:p>
        </w:tc>
      </w:tr>
      <w:tr>
        <w:trPr>
          <w:trHeight w:val="360" w:hRule="atLeast"/>
        </w:trPr>
        <w:tc>
          <w:tcPr>
            <w:tcW w:w="2500" w:type="dxa"/>
            <w:vAlign w:val="center"/>
          </w:tcPr>
          <w:p>
            <w:pPr>
              <w:spacing w:before="0" w:after="0"/>
              <w:jc w:val="left"/>
            </w:pPr>
            <w:r>
              <w:rPr>
                <w:color w:val="2C3E50"/>
                <w:sz w:val="21"/>
              </w:rPr>
              <w:t>Earning</w:t>
            </w:r>
          </w:p>
        </w:tc>
        <w:tc>
          <w:tcPr>
            <w:tcW w:w="3750" w:type="dxa"/>
            <w:vAlign w:val="center"/>
          </w:tcPr>
          <w:p>
            <w:pPr>
              <w:spacing w:before="0" w:after="0"/>
              <w:jc w:val="left"/>
            </w:pPr>
            <w:r>
              <w:rPr>
                <w:color w:val="2C3E50"/>
                <w:sz w:val="21"/>
              </w:rPr>
              <w:t>Jobs, activities</w:t>
            </w:r>
          </w:p>
        </w:tc>
        <w:tc>
          <w:tcPr>
            <w:tcW w:w="3750" w:type="dxa"/>
            <w:vAlign w:val="center"/>
          </w:tcPr>
          <w:p>
            <w:pPr>
              <w:spacing w:before="0" w:after="0"/>
              <w:jc w:val="left"/>
            </w:pPr>
            <w:r>
              <w:rPr>
                <w:color w:val="2C3E50"/>
                <w:sz w:val="21"/>
              </w:rPr>
              <w:t>Mining, trading, events</w:t>
            </w:r>
          </w:p>
        </w:tc>
      </w:tr>
      <w:tr>
        <w:trPr>
          <w:trHeight w:val="360" w:hRule="atLeast"/>
        </w:trPr>
        <w:tc>
          <w:tcPr>
            <w:tcW w:w="2500" w:type="dxa"/>
            <w:vAlign w:val="center"/>
          </w:tcPr>
          <w:p>
            <w:pPr>
              <w:spacing w:before="0" w:after="0"/>
              <w:jc w:val="left"/>
            </w:pPr>
            <w:r>
              <w:rPr>
                <w:color w:val="2C3E50"/>
                <w:sz w:val="21"/>
              </w:rPr>
              <w:t>Spending</w:t>
            </w:r>
          </w:p>
        </w:tc>
        <w:tc>
          <w:tcPr>
            <w:tcW w:w="3750" w:type="dxa"/>
            <w:vAlign w:val="center"/>
          </w:tcPr>
          <w:p>
            <w:pPr>
              <w:spacing w:before="0" w:after="0"/>
              <w:jc w:val="left"/>
            </w:pPr>
            <w:r>
              <w:rPr>
                <w:color w:val="2C3E50"/>
                <w:sz w:val="21"/>
              </w:rPr>
              <w:t>Basic items, services</w:t>
            </w:r>
          </w:p>
        </w:tc>
        <w:tc>
          <w:tcPr>
            <w:tcW w:w="3750" w:type="dxa"/>
            <w:vAlign w:val="center"/>
          </w:tcPr>
          <w:p>
            <w:pPr>
              <w:spacing w:before="0" w:after="0"/>
              <w:jc w:val="left"/>
            </w:pPr>
            <w:r>
              <w:rPr>
                <w:color w:val="2C3E50"/>
                <w:sz w:val="21"/>
              </w:rPr>
              <w:t>Premium items, assets</w:t>
            </w:r>
          </w:p>
        </w:tc>
      </w:tr>
      <w:tr>
        <w:trPr>
          <w:trHeight w:val="360" w:hRule="atLeast"/>
        </w:trPr>
        <w:tc>
          <w:tcPr>
            <w:tcW w:w="2500" w:type="dxa"/>
            <w:vAlign w:val="center"/>
          </w:tcPr>
          <w:p>
            <w:pPr>
              <w:spacing w:before="0" w:after="0"/>
              <w:jc w:val="left"/>
            </w:pPr>
            <w:r>
              <w:rPr>
                <w:color w:val="2C3E50"/>
                <w:sz w:val="21"/>
              </w:rPr>
              <w:t>Transferable</w:t>
            </w:r>
          </w:p>
        </w:tc>
        <w:tc>
          <w:tcPr>
            <w:tcW w:w="3750" w:type="dxa"/>
            <w:vAlign w:val="center"/>
          </w:tcPr>
          <w:p>
            <w:pPr>
              <w:spacing w:before="0" w:after="0"/>
              <w:jc w:val="left"/>
            </w:pPr>
            <w:r>
              <w:rPr>
                <w:color w:val="2C3E50"/>
                <w:sz w:val="21"/>
              </w:rPr>
              <w:t>No</w:t>
            </w:r>
          </w:p>
        </w:tc>
        <w:tc>
          <w:tcPr>
            <w:tcW w:w="3750" w:type="dxa"/>
            <w:vAlign w:val="center"/>
          </w:tcPr>
          <w:p>
            <w:pPr>
              <w:spacing w:before="0" w:after="0"/>
              <w:jc w:val="left"/>
            </w:pPr>
            <w:r>
              <w:rPr>
                <w:color w:val="2C3E50"/>
                <w:sz w:val="21"/>
              </w:rPr>
              <w:t>Yes - blockchain</w:t>
            </w:r>
          </w:p>
        </w:tc>
      </w:tr>
      <w:tr>
        <w:trPr>
          <w:trHeight w:val="360" w:hRule="atLeast"/>
        </w:trPr>
        <w:tc>
          <w:tcPr>
            <w:tcW w:w="2500" w:type="dxa"/>
            <w:vAlign w:val="center"/>
          </w:tcPr>
          <w:p>
            <w:pPr>
              <w:spacing w:before="0" w:after="0"/>
              <w:jc w:val="left"/>
            </w:pPr>
            <w:r>
              <w:rPr>
                <w:color w:val="2C3E50"/>
                <w:sz w:val="21"/>
              </w:rPr>
              <w:t>Cash Out</w:t>
            </w:r>
          </w:p>
        </w:tc>
        <w:tc>
          <w:tcPr>
            <w:tcW w:w="3750" w:type="dxa"/>
            <w:vAlign w:val="center"/>
          </w:tcPr>
          <w:p>
            <w:pPr>
              <w:spacing w:before="0" w:after="0"/>
              <w:jc w:val="left"/>
            </w:pPr>
            <w:r>
              <w:rPr>
                <w:color w:val="2C3E50"/>
                <w:sz w:val="21"/>
              </w:rPr>
              <w:t>No</w:t>
            </w:r>
          </w:p>
        </w:tc>
        <w:tc>
          <w:tcPr>
            <w:tcW w:w="3750" w:type="dxa"/>
            <w:vAlign w:val="center"/>
          </w:tcPr>
          <w:p>
            <w:pPr>
              <w:spacing w:before="0" w:after="0"/>
              <w:jc w:val="left"/>
            </w:pPr>
            <w:r>
              <w:rPr>
                <w:color w:val="2C3E50"/>
                <w:sz w:val="21"/>
              </w:rPr>
              <w:t>Yes - via exchanges</w:t>
            </w:r>
          </w:p>
        </w:tc>
      </w:tr>
    </w:tbl>
    <w:p>
      <w:pPr>
        <w:pStyle w:val="Caption"/>
      </w:pPr>
      <w:r>
        <w:t>Table 3: Dual-Currency System Comparison</w:t>
      </w:r>
    </w:p>
    <w:p>
      <w:pPr>
        <w:pStyle w:val="Heading1"/>
      </w:pPr>
      <w:bookmarkStart w:name="_Toc006" w:id="006"/>
      <w:r>
        <w:t>Game Mechanics</w:t>
      </w:r>
      <w:bookmarkEnd w:id="006"/>
    </w:p>
    <w:p>
      <w:pPr>
        <w:pStyle w:val="Heading2"/>
      </w:pPr>
      <w:r>
        <w:t>Role-Playing Systems</w:t>
      </w:r>
    </w:p>
    <w:p>
      <w:pPr>
        <w:pStyle w:val="Heading3"/>
      </w:pPr>
      <w:r>
        <w:t>Career Progression</w:t>
      </w:r>
    </w:p>
    <w:p>
      <w:r>
        <w:t>LifeVerse RP features a deep career system where players choose paths that define their gameplay experience. Each career offers unique progression trees, unlockable abilities, and earning potential.</w:t>
      </w:r>
    </w:p>
    <w:tbl>
      <w:tblPr>
        <w:tblW w:w="5000" w:type="pct"/>
        <w:tblBorders>
          <w:top w:val="single" w:color="4A90A4" w:sz="12"/>
          <w:left w:val="nil"/>
          <w:bottom w:val="single" w:color="4A90A4" w:sz="12"/>
          <w:right w:val="nil"/>
          <w:insideH w:val="nil"/>
          <w:insideV w:val="nil"/>
        </w:tblBorders>
        <w:tblCellMar>
          <w:top w:w="120" w:type="dxa"/>
          <w:left w:w="150" w:type="dxa"/>
          <w:bottom w:w="120" w:type="dxa"/>
          <w:right w:w="150" w:type="dxa"/>
        </w:tblCellMar>
      </w:tblPr>
      <w:tblGrid>
        <w:gridCol w:w="2000"/>
        <w:gridCol w:w="3500"/>
        <w:gridCol w:w="2250"/>
        <w:gridCol w:w="2250"/>
      </w:tblGrid>
      <w:tr>
        <w:trPr>
          <w:tblHeader/>
          <w:trHeight w:val="400" w:hRule="atLeast"/>
        </w:trPr>
        <w:tc>
          <w:tcPr>
            <w:tcW w:w="2000" w:type="dxa"/>
            <w:tcBorders>
              <w:bottom w:val="single" w:color="4A90A4" w:sz="6"/>
            </w:tcBorders>
            <w:shd w:val="clear" w:fill="E8F4F8"/>
            <w:vAlign w:val="center"/>
          </w:tcPr>
          <w:p>
            <w:pPr>
              <w:spacing w:before="0" w:after="0"/>
              <w:jc w:val="center"/>
            </w:pPr>
            <w:r>
              <w:rPr>
                <w:b/>
                <w:color w:val="2C3E50"/>
                <w:sz w:val="21"/>
              </w:rPr>
              <w:t>Category</w:t>
            </w:r>
          </w:p>
        </w:tc>
        <w:tc>
          <w:tcPr>
            <w:tcW w:w="3500" w:type="dxa"/>
            <w:tcBorders>
              <w:bottom w:val="single" w:color="4A90A4" w:sz="6"/>
            </w:tcBorders>
            <w:shd w:val="clear" w:fill="E8F4F8"/>
            <w:vAlign w:val="center"/>
          </w:tcPr>
          <w:p>
            <w:pPr>
              <w:spacing w:before="0" w:after="0"/>
              <w:jc w:val="center"/>
            </w:pPr>
            <w:r>
              <w:rPr>
                <w:b/>
                <w:color w:val="2C3E50"/>
                <w:sz w:val="21"/>
              </w:rPr>
              <w:t>Careers</w:t>
            </w:r>
          </w:p>
        </w:tc>
        <w:tc>
          <w:tcPr>
            <w:tcW w:w="2250" w:type="dxa"/>
            <w:tcBorders>
              <w:bottom w:val="single" w:color="4A90A4" w:sz="6"/>
            </w:tcBorders>
            <w:shd w:val="clear" w:fill="E8F4F8"/>
            <w:vAlign w:val="center"/>
          </w:tcPr>
          <w:p>
            <w:pPr>
              <w:spacing w:before="0" w:after="0"/>
              <w:jc w:val="center"/>
            </w:pPr>
            <w:r>
              <w:rPr>
                <w:b/>
                <w:color w:val="2C3E50"/>
                <w:sz w:val="21"/>
              </w:rPr>
              <w:t>Income Type</w:t>
            </w:r>
          </w:p>
        </w:tc>
        <w:tc>
          <w:tcPr>
            <w:tcW w:w="2250" w:type="dxa"/>
            <w:tcBorders>
              <w:bottom w:val="single" w:color="4A90A4" w:sz="6"/>
            </w:tcBorders>
            <w:shd w:val="clear" w:fill="E8F4F8"/>
            <w:vAlign w:val="center"/>
          </w:tcPr>
          <w:p>
            <w:pPr>
              <w:spacing w:before="0" w:after="0"/>
              <w:jc w:val="center"/>
            </w:pPr>
            <w:r>
              <w:rPr>
                <w:b/>
                <w:color w:val="2C3E50"/>
                <w:sz w:val="21"/>
              </w:rPr>
              <w:t>Risk Level</w:t>
            </w:r>
          </w:p>
        </w:tc>
      </w:tr>
      <w:tr>
        <w:trPr>
          <w:trHeight w:val="360" w:hRule="atLeast"/>
        </w:trPr>
        <w:tc>
          <w:tcPr>
            <w:tcW w:w="2000" w:type="dxa"/>
            <w:vAlign w:val="center"/>
          </w:tcPr>
          <w:p>
            <w:pPr>
              <w:spacing w:before="0" w:after="0"/>
              <w:jc w:val="left"/>
            </w:pPr>
            <w:r>
              <w:rPr>
                <w:color w:val="2C3E50"/>
                <w:sz w:val="21"/>
              </w:rPr>
              <w:t>Civilian</w:t>
            </w:r>
          </w:p>
        </w:tc>
        <w:tc>
          <w:tcPr>
            <w:tcW w:w="3500" w:type="dxa"/>
            <w:vAlign w:val="center"/>
          </w:tcPr>
          <w:p>
            <w:pPr>
              <w:spacing w:before="0" w:after="0"/>
              <w:jc w:val="left"/>
            </w:pPr>
            <w:r>
              <w:rPr>
                <w:color w:val="2C3E50"/>
                <w:sz w:val="21"/>
              </w:rPr>
              <w:t>Driver, Chef, Mechanic</w:t>
            </w:r>
          </w:p>
        </w:tc>
        <w:tc>
          <w:tcPr>
            <w:tcW w:w="2250" w:type="dxa"/>
            <w:vAlign w:val="center"/>
          </w:tcPr>
          <w:p>
            <w:pPr>
              <w:spacing w:before="0" w:after="0"/>
              <w:jc w:val="left"/>
            </w:pPr>
            <w:r>
              <w:rPr>
                <w:color w:val="2C3E50"/>
                <w:sz w:val="21"/>
              </w:rPr>
              <w:t>Stable salary</w:t>
            </w:r>
          </w:p>
        </w:tc>
        <w:tc>
          <w:tcPr>
            <w:tcW w:w="2250" w:type="dxa"/>
            <w:vAlign w:val="center"/>
          </w:tcPr>
          <w:p>
            <w:pPr>
              <w:spacing w:before="0" w:after="0"/>
              <w:jc w:val="left"/>
            </w:pPr>
            <w:r>
              <w:rPr>
                <w:color w:val="2C3E50"/>
                <w:sz w:val="21"/>
              </w:rPr>
              <w:t>Low</w:t>
            </w:r>
          </w:p>
        </w:tc>
      </w:tr>
      <w:tr>
        <w:trPr>
          <w:trHeight w:val="360" w:hRule="atLeast"/>
        </w:trPr>
        <w:tc>
          <w:tcPr>
            <w:tcW w:w="2000" w:type="dxa"/>
            <w:vAlign w:val="center"/>
          </w:tcPr>
          <w:p>
            <w:pPr>
              <w:spacing w:before="0" w:after="0"/>
              <w:jc w:val="left"/>
            </w:pPr>
            <w:r>
              <w:rPr>
                <w:color w:val="2C3E50"/>
                <w:sz w:val="21"/>
              </w:rPr>
              <w:t>Corporate</w:t>
            </w:r>
          </w:p>
        </w:tc>
        <w:tc>
          <w:tcPr>
            <w:tcW w:w="3500" w:type="dxa"/>
            <w:vAlign w:val="center"/>
          </w:tcPr>
          <w:p>
            <w:pPr>
              <w:spacing w:before="0" w:after="0"/>
              <w:jc w:val="left"/>
            </w:pPr>
            <w:r>
              <w:rPr>
                <w:color w:val="2C3E50"/>
                <w:sz w:val="21"/>
              </w:rPr>
              <w:t>CEO, Manager, Trader</w:t>
            </w:r>
          </w:p>
        </w:tc>
        <w:tc>
          <w:tcPr>
            <w:tcW w:w="2250" w:type="dxa"/>
            <w:vAlign w:val="center"/>
          </w:tcPr>
          <w:p>
            <w:pPr>
              <w:spacing w:before="0" w:after="0"/>
              <w:jc w:val="left"/>
            </w:pPr>
            <w:r>
              <w:rPr>
                <w:color w:val="2C3E50"/>
                <w:sz w:val="21"/>
              </w:rPr>
              <w:t>Performance bonus</w:t>
            </w:r>
          </w:p>
        </w:tc>
        <w:tc>
          <w:tcPr>
            <w:tcW w:w="2250" w:type="dxa"/>
            <w:vAlign w:val="center"/>
          </w:tcPr>
          <w:p>
            <w:pPr>
              <w:spacing w:before="0" w:after="0"/>
              <w:jc w:val="left"/>
            </w:pPr>
            <w:r>
              <w:rPr>
                <w:color w:val="2C3E50"/>
                <w:sz w:val="21"/>
              </w:rPr>
              <w:t>Medium</w:t>
            </w:r>
          </w:p>
        </w:tc>
      </w:tr>
      <w:tr>
        <w:trPr>
          <w:trHeight w:val="360" w:hRule="atLeast"/>
        </w:trPr>
        <w:tc>
          <w:tcPr>
            <w:tcW w:w="2000" w:type="dxa"/>
            <w:vAlign w:val="center"/>
          </w:tcPr>
          <w:p>
            <w:pPr>
              <w:spacing w:before="0" w:after="0"/>
              <w:jc w:val="left"/>
            </w:pPr>
            <w:r>
              <w:rPr>
                <w:color w:val="2C3E50"/>
                <w:sz w:val="21"/>
              </w:rPr>
              <w:t>Law Enforcement</w:t>
            </w:r>
          </w:p>
        </w:tc>
        <w:tc>
          <w:tcPr>
            <w:tcW w:w="3500" w:type="dxa"/>
            <w:vAlign w:val="center"/>
          </w:tcPr>
          <w:p>
            <w:pPr>
              <w:spacing w:before="0" w:after="0"/>
              <w:jc w:val="left"/>
            </w:pPr>
            <w:r>
              <w:rPr>
                <w:color w:val="2C3E50"/>
                <w:sz w:val="21"/>
              </w:rPr>
              <w:t>Police, Detective, SWAT</w:t>
            </w:r>
          </w:p>
        </w:tc>
        <w:tc>
          <w:tcPr>
            <w:tcW w:w="2250" w:type="dxa"/>
            <w:vAlign w:val="center"/>
          </w:tcPr>
          <w:p>
            <w:pPr>
              <w:spacing w:before="0" w:after="0"/>
              <w:jc w:val="left"/>
            </w:pPr>
            <w:r>
              <w:rPr>
                <w:color w:val="2C3E50"/>
                <w:sz w:val="21"/>
              </w:rPr>
              <w:t>Government salary</w:t>
            </w:r>
          </w:p>
        </w:tc>
        <w:tc>
          <w:tcPr>
            <w:tcW w:w="2250" w:type="dxa"/>
            <w:vAlign w:val="center"/>
          </w:tcPr>
          <w:p>
            <w:pPr>
              <w:spacing w:before="0" w:after="0"/>
              <w:jc w:val="left"/>
            </w:pPr>
            <w:r>
              <w:rPr>
                <w:color w:val="2C3E50"/>
                <w:sz w:val="21"/>
              </w:rPr>
              <w:t>Medium</w:t>
            </w:r>
          </w:p>
        </w:tc>
      </w:tr>
      <w:tr>
        <w:trPr>
          <w:trHeight w:val="360" w:hRule="atLeast"/>
        </w:trPr>
        <w:tc>
          <w:tcPr>
            <w:tcW w:w="2000" w:type="dxa"/>
            <w:vAlign w:val="center"/>
          </w:tcPr>
          <w:p>
            <w:pPr>
              <w:spacing w:before="0" w:after="0"/>
              <w:jc w:val="left"/>
            </w:pPr>
            <w:r>
              <w:rPr>
                <w:color w:val="2C3E50"/>
                <w:sz w:val="21"/>
              </w:rPr>
              <w:t>Medical</w:t>
            </w:r>
          </w:p>
        </w:tc>
        <w:tc>
          <w:tcPr>
            <w:tcW w:w="3500" w:type="dxa"/>
            <w:vAlign w:val="center"/>
          </w:tcPr>
          <w:p>
            <w:pPr>
              <w:spacing w:before="0" w:after="0"/>
              <w:jc w:val="left"/>
            </w:pPr>
            <w:r>
              <w:rPr>
                <w:color w:val="2C3E50"/>
                <w:sz w:val="21"/>
              </w:rPr>
              <w:t>Doctor, Paramedic, Chemist</w:t>
            </w:r>
          </w:p>
        </w:tc>
        <w:tc>
          <w:tcPr>
            <w:tcW w:w="2250" w:type="dxa"/>
            <w:vAlign w:val="center"/>
          </w:tcPr>
          <w:p>
            <w:pPr>
              <w:spacing w:before="0" w:after="0"/>
              <w:jc w:val="left"/>
            </w:pPr>
            <w:r>
              <w:rPr>
                <w:color w:val="2C3E50"/>
                <w:sz w:val="21"/>
              </w:rPr>
              <w:t>Service fees</w:t>
            </w:r>
          </w:p>
        </w:tc>
        <w:tc>
          <w:tcPr>
            <w:tcW w:w="2250" w:type="dxa"/>
            <w:vAlign w:val="center"/>
          </w:tcPr>
          <w:p>
            <w:pPr>
              <w:spacing w:before="0" w:after="0"/>
              <w:jc w:val="left"/>
            </w:pPr>
            <w:r>
              <w:rPr>
                <w:color w:val="2C3E50"/>
                <w:sz w:val="21"/>
              </w:rPr>
              <w:t>Low</w:t>
            </w:r>
          </w:p>
        </w:tc>
      </w:tr>
      <w:tr>
        <w:trPr>
          <w:trHeight w:val="360" w:hRule="atLeast"/>
        </w:trPr>
        <w:tc>
          <w:tcPr>
            <w:tcW w:w="2000" w:type="dxa"/>
            <w:vAlign w:val="center"/>
          </w:tcPr>
          <w:p>
            <w:pPr>
              <w:spacing w:before="0" w:after="0"/>
              <w:jc w:val="left"/>
            </w:pPr>
            <w:r>
              <w:rPr>
                <w:color w:val="2C3E50"/>
                <w:sz w:val="21"/>
              </w:rPr>
              <w:t>Criminal</w:t>
            </w:r>
          </w:p>
        </w:tc>
        <w:tc>
          <w:tcPr>
            <w:tcW w:w="3500" w:type="dxa"/>
            <w:vAlign w:val="center"/>
          </w:tcPr>
          <w:p>
            <w:pPr>
              <w:spacing w:before="0" w:after="0"/>
              <w:jc w:val="left"/>
            </w:pPr>
            <w:r>
              <w:rPr>
                <w:color w:val="2C3E50"/>
                <w:sz w:val="21"/>
              </w:rPr>
              <w:t>Thief, Drug Dealer, Hacker</w:t>
            </w:r>
          </w:p>
        </w:tc>
        <w:tc>
          <w:tcPr>
            <w:tcW w:w="2250" w:type="dxa"/>
            <w:vAlign w:val="center"/>
          </w:tcPr>
          <w:p>
            <w:pPr>
              <w:spacing w:before="0" w:after="0"/>
              <w:jc w:val="left"/>
            </w:pPr>
            <w:r>
              <w:rPr>
                <w:color w:val="2C3E50"/>
                <w:sz w:val="21"/>
              </w:rPr>
              <w:t>Illegal activities</w:t>
            </w:r>
          </w:p>
        </w:tc>
        <w:tc>
          <w:tcPr>
            <w:tcW w:w="2250" w:type="dxa"/>
            <w:vAlign w:val="center"/>
          </w:tcPr>
          <w:p>
            <w:pPr>
              <w:spacing w:before="0" w:after="0"/>
              <w:jc w:val="left"/>
            </w:pPr>
            <w:r>
              <w:rPr>
                <w:color w:val="2C3E50"/>
                <w:sz w:val="21"/>
              </w:rPr>
              <w:t>High</w:t>
            </w:r>
          </w:p>
        </w:tc>
      </w:tr>
      <w:tr>
        <w:trPr>
          <w:trHeight w:val="360" w:hRule="atLeast"/>
        </w:trPr>
        <w:tc>
          <w:tcPr>
            <w:tcW w:w="2000" w:type="dxa"/>
            <w:vAlign w:val="center"/>
          </w:tcPr>
          <w:p>
            <w:pPr>
              <w:spacing w:before="0" w:after="0"/>
              <w:jc w:val="left"/>
            </w:pPr>
            <w:r>
              <w:rPr>
                <w:color w:val="2C3E50"/>
                <w:sz w:val="21"/>
              </w:rPr>
              <w:t>Military</w:t>
            </w:r>
          </w:p>
        </w:tc>
        <w:tc>
          <w:tcPr>
            <w:tcW w:w="3500" w:type="dxa"/>
            <w:vAlign w:val="center"/>
          </w:tcPr>
          <w:p>
            <w:pPr>
              <w:spacing w:before="0" w:after="0"/>
              <w:jc w:val="left"/>
            </w:pPr>
            <w:r>
              <w:rPr>
                <w:color w:val="2C3E50"/>
                <w:sz w:val="21"/>
              </w:rPr>
              <w:t>Soldier, Commander, Pilot</w:t>
            </w:r>
          </w:p>
        </w:tc>
        <w:tc>
          <w:tcPr>
            <w:tcW w:w="2250" w:type="dxa"/>
            <w:vAlign w:val="center"/>
          </w:tcPr>
          <w:p>
            <w:pPr>
              <w:spacing w:before="0" w:after="0"/>
              <w:jc w:val="left"/>
            </w:pPr>
            <w:r>
              <w:rPr>
                <w:color w:val="2C3E50"/>
                <w:sz w:val="21"/>
              </w:rPr>
              <w:t>Military contract</w:t>
            </w:r>
          </w:p>
        </w:tc>
        <w:tc>
          <w:tcPr>
            <w:tcW w:w="2250" w:type="dxa"/>
            <w:vAlign w:val="center"/>
          </w:tcPr>
          <w:p>
            <w:pPr>
              <w:spacing w:before="0" w:after="0"/>
              <w:jc w:val="left"/>
            </w:pPr>
            <w:r>
              <w:rPr>
                <w:color w:val="2C3E50"/>
                <w:sz w:val="21"/>
              </w:rPr>
              <w:t>High</w:t>
            </w:r>
          </w:p>
        </w:tc>
      </w:tr>
    </w:tbl>
    <w:p>
      <w:pPr>
        <w:pStyle w:val="Caption"/>
      </w:pPr>
      <w:r>
        <w:t>Table 4: Career System Overview</w:t>
      </w:r>
    </w:p>
    <w:p>
      <w:pPr>
        <w:pStyle w:val="Heading3"/>
      </w:pPr>
      <w:r>
        <w:t>Housing &amp; Real Estate</w:t>
      </w:r>
    </w:p>
    <w:p>
      <w:r>
        <w:t>The property system allows players to own apartments, houses, businesses, and industrial properties. Properties can be customized, rented to other players, or used as bases for criminal operations. Location affects value, with downtown properties commanding premium prices.</w:t>
      </w:r>
    </w:p>
    <w:p>
      <w:pPr>
        <w:pStyle w:val="Heading2"/>
      </w:pPr>
      <w:r>
        <w:t>Economic Model</w:t>
      </w:r>
    </w:p>
    <w:p>
      <w:r>
        <w:t>LifeVerse RP's economy is designed to be player-driven, with supply and demand determining prices for goods and services. The dual-currency system creates natural sinks and faucets that maintain economic balance.</w:t>
      </w:r>
    </w:p>
    <w:p>
      <w:pPr>
        <w:pStyle w:val="Heading3"/>
      </w:pPr>
      <w:r>
        <w:t>Revenue Streams</w:t>
      </w:r>
    </w:p>
    <w:p>
      <w:pPr>
        <w:numPr>
          <w:ilvl w:val="0"/>
          <w:numId w:val="2"/>
        </w:numPr>
      </w:pPr>
      <w:r>
        <w:t>Transaction fees on marketplace trades (2.5%)</w:t>
      </w:r>
    </w:p>
    <w:p>
      <w:pPr>
        <w:numPr>
          <w:ilvl w:val="0"/>
          <w:numId w:val="2"/>
        </w:numPr>
      </w:pPr>
      <w:r>
        <w:t>Premium subscriptions for enhanced features</w:t>
      </w:r>
    </w:p>
    <w:p>
      <w:pPr>
        <w:numPr>
          <w:ilvl w:val="0"/>
          <w:numId w:val="2"/>
        </w:numPr>
      </w:pPr>
      <w:r>
        <w:t>Digital asset sales (Founder Passes, exclusive items)</w:t>
      </w:r>
    </w:p>
    <w:p>
      <w:pPr>
        <w:numPr>
          <w:ilvl w:val="0"/>
          <w:numId w:val="2"/>
        </w:numPr>
      </w:pPr>
      <w:r>
        <w:t>Server hosting fees for private worlds</w:t>
      </w:r>
    </w:p>
    <w:p>
      <w:pPr>
        <w:numPr>
          <w:ilvl w:val="0"/>
          <w:numId w:val="2"/>
        </w:numPr>
      </w:pPr>
      <w:r>
        <w:t>Advertising partnerships within the game world</w:t>
      </w:r>
    </w:p>
    <w:p>
      <w:pPr>
        <w:pStyle w:val="Heading1"/>
      </w:pPr>
      <w:bookmarkStart w:name="_Toc007" w:id="007"/>
      <w:r>
        <w:t>Technical Architecture</w:t>
      </w:r>
      <w:bookmarkEnd w:id="007"/>
    </w:p>
    <w:p>
      <w:pPr>
        <w:pStyle w:val="Heading2"/>
      </w:pPr>
      <w:r>
        <w:t>Blockchain Integration</w:t>
      </w:r>
    </w:p>
    <w:p>
      <w:r>
        <w:t>LifeVerse RP integrates directly with the LifeCoin blockchain for secure, transparent transactions. The architecture is designed for security, scalability, and seamless user experience.</w:t>
      </w:r>
    </w:p>
    <w:p>
      <w:pPr>
        <w:pStyle w:val="Heading3"/>
      </w:pPr>
      <w:r>
        <w:t>Smart Contract Stack</w:t>
      </w:r>
    </w:p>
    <w:p>
      <w:pPr>
        <w:numPr>
          <w:ilvl w:val="0"/>
          <w:numId w:val="2"/>
        </w:numPr>
      </w:pPr>
      <w:r>
        <w:t>LifeCoin Core: Independent Proof-of-Work blockchain with Scrypt algorithm</w:t>
      </w:r>
    </w:p>
    <w:p>
      <w:pPr>
        <w:numPr>
          <w:ilvl w:val="0"/>
          <w:numId w:val="2"/>
        </w:numPr>
      </w:pPr>
      <w:r>
        <w:t>Asset Registry: On-chain tracking of unique in-game assets</w:t>
      </w:r>
    </w:p>
    <w:p>
      <w:pPr>
        <w:numPr>
          <w:ilvl w:val="0"/>
          <w:numId w:val="2"/>
        </w:numPr>
      </w:pPr>
      <w:r>
        <w:t>Marketplace Contract: Decentralized trading with escrow and royalties</w:t>
      </w:r>
    </w:p>
    <w:p>
      <w:pPr>
        <w:numPr>
          <w:ilvl w:val="0"/>
          <w:numId w:val="2"/>
        </w:numPr>
      </w:pPr>
      <w:r>
        <w:t>Staking Contract: Time-locked staking with tiered rewards</w:t>
      </w:r>
    </w:p>
    <w:p>
      <w:pPr>
        <w:pStyle w:val="Heading3"/>
      </w:pPr>
      <w:r>
        <w:t>Wallet Integration</w:t>
      </w:r>
    </w:p>
    <w:p>
      <w:r>
        <w:t>Players can connect any LifeCoin-compatible wallet. In-game transactions are abstracted through a relayer system that covers network fees for seamless gameplay.</w:t>
      </w:r>
    </w:p>
    <w:p>
      <w:pPr>
        <w:pStyle w:val="Heading2"/>
      </w:pPr>
      <w:r>
        <w:t>Multiplayer Infrastructure</w:t>
      </w:r>
    </w:p>
    <w:p>
      <w:r>
        <w:t>Built on Unity with Mirror Networking, LifeVerse RP supports massive multiplayer environments with optimized server architecture.</w:t>
      </w:r>
    </w:p>
    <w:p>
      <w:pPr>
        <w:pStyle w:val="Heading3"/>
      </w:pPr>
      <w:r>
        <w:t>Server Architecture</w:t>
      </w:r>
    </w:p>
    <w:p>
      <w:pPr>
        <w:numPr>
          <w:ilvl w:val="0"/>
          <w:numId w:val="2"/>
        </w:numPr>
      </w:pPr>
      <w:r>
        <w:t>Master Server: Handles authentication, matchmaking, and world state</w:t>
      </w:r>
    </w:p>
    <w:p>
      <w:pPr>
        <w:numPr>
          <w:ilvl w:val="0"/>
          <w:numId w:val="2"/>
        </w:numPr>
      </w:pPr>
      <w:r>
        <w:t>Zone Servers: Dedicated instances per city/region (500 players each)</w:t>
      </w:r>
    </w:p>
    <w:p>
      <w:pPr>
        <w:numPr>
          <w:ilvl w:val="0"/>
          <w:numId w:val="2"/>
        </w:numPr>
      </w:pPr>
      <w:r>
        <w:t>Database Layer: Distributed PostgreSQL with Redis caching</w:t>
      </w:r>
    </w:p>
    <w:p>
      <w:pPr>
        <w:numPr>
          <w:ilvl w:val="0"/>
          <w:numId w:val="2"/>
        </w:numPr>
      </w:pPr>
      <w:r>
        <w:t>Blockchain Indexer: Real-time synchronization of on-chain events</w:t>
      </w:r>
    </w:p>
    <w:p>
      <w:pPr>
        <w:pStyle w:val="Heading1"/>
      </w:pPr>
      <w:bookmarkStart w:name="_Toc008" w:id="008"/>
      <w:r>
        <w:t>Roadmap</w:t>
      </w:r>
      <w:bookmarkEnd w:id="008"/>
    </w:p>
    <w:p>
      <w:r>
        <w:t>The 18-month development roadmap is structured in five phases, each building upon the previous to deliver a complete and polished gaming experience.</w:t>
      </w:r>
    </w:p>
    <w:tbl>
      <w:tblPr>
        <w:tblW w:w="5000" w:type="pct"/>
        <w:tblBorders>
          <w:top w:val="single" w:color="4A90A4" w:sz="12"/>
          <w:left w:val="nil"/>
          <w:bottom w:val="single" w:color="4A90A4" w:sz="12"/>
          <w:right w:val="nil"/>
          <w:insideH w:val="nil"/>
          <w:insideV w:val="nil"/>
        </w:tblBorders>
        <w:tblCellMar>
          <w:top w:w="120" w:type="dxa"/>
          <w:left w:w="150" w:type="dxa"/>
          <w:bottom w:w="120" w:type="dxa"/>
          <w:right w:w="150" w:type="dxa"/>
        </w:tblCellMar>
      </w:tblPr>
      <w:tblGrid>
        <w:gridCol w:w="2200"/>
        <w:gridCol w:w="1800"/>
        <w:gridCol w:w="3500"/>
        <w:gridCol w:w="2500"/>
      </w:tblGrid>
      <w:tr>
        <w:trPr>
          <w:tblHeader/>
          <w:trHeight w:val="400" w:hRule="atLeast"/>
        </w:trPr>
        <w:tc>
          <w:tcPr>
            <w:tcW w:w="2200" w:type="dxa"/>
            <w:tcBorders>
              <w:bottom w:val="single" w:color="4A90A4" w:sz="6"/>
            </w:tcBorders>
            <w:shd w:val="clear" w:fill="E8F4F8"/>
            <w:vAlign w:val="center"/>
          </w:tcPr>
          <w:p>
            <w:pPr>
              <w:spacing w:before="0" w:after="0"/>
              <w:jc w:val="center"/>
            </w:pPr>
            <w:r>
              <w:rPr>
                <w:b/>
                <w:color w:val="2C3E50"/>
                <w:sz w:val="21"/>
              </w:rPr>
              <w:t>Phase</w:t>
            </w:r>
          </w:p>
        </w:tc>
        <w:tc>
          <w:tcPr>
            <w:tcW w:w="1800" w:type="dxa"/>
            <w:tcBorders>
              <w:bottom w:val="single" w:color="4A90A4" w:sz="6"/>
            </w:tcBorders>
            <w:shd w:val="clear" w:fill="E8F4F8"/>
            <w:vAlign w:val="center"/>
          </w:tcPr>
          <w:p>
            <w:pPr>
              <w:spacing w:before="0" w:after="0"/>
              <w:jc w:val="center"/>
            </w:pPr>
            <w:r>
              <w:rPr>
                <w:b/>
                <w:color w:val="2C3E50"/>
                <w:sz w:val="21"/>
              </w:rPr>
              <w:t>Timeline</w:t>
            </w:r>
          </w:p>
        </w:tc>
        <w:tc>
          <w:tcPr>
            <w:tcW w:w="3500" w:type="dxa"/>
            <w:tcBorders>
              <w:bottom w:val="single" w:color="4A90A4" w:sz="6"/>
            </w:tcBorders>
            <w:shd w:val="clear" w:fill="E8F4F8"/>
            <w:vAlign w:val="center"/>
          </w:tcPr>
          <w:p>
            <w:pPr>
              <w:spacing w:before="0" w:after="0"/>
              <w:jc w:val="center"/>
            </w:pPr>
            <w:r>
              <w:rPr>
                <w:b/>
                <w:color w:val="2C3E50"/>
                <w:sz w:val="21"/>
              </w:rPr>
              <w:t>Key Deliverables</w:t>
            </w:r>
          </w:p>
        </w:tc>
        <w:tc>
          <w:tcPr>
            <w:tcW w:w="2500" w:type="dxa"/>
            <w:tcBorders>
              <w:bottom w:val="single" w:color="4A90A4" w:sz="6"/>
            </w:tcBorders>
            <w:shd w:val="clear" w:fill="E8F4F8"/>
            <w:vAlign w:val="center"/>
          </w:tcPr>
          <w:p>
            <w:pPr>
              <w:spacing w:before="0" w:after="0"/>
              <w:jc w:val="center"/>
            </w:pPr>
            <w:r>
              <w:rPr>
                <w:b/>
                <w:color w:val="2C3E50"/>
                <w:sz w:val="21"/>
              </w:rPr>
              <w:t>Budget</w:t>
            </w:r>
          </w:p>
        </w:tc>
      </w:tr>
      <w:tr>
        <w:trPr>
          <w:trHeight w:val="360" w:hRule="atLeast"/>
        </w:trPr>
        <w:tc>
          <w:tcPr>
            <w:tcW w:w="2200" w:type="dxa"/>
            <w:vAlign w:val="center"/>
          </w:tcPr>
          <w:p>
            <w:pPr>
              <w:spacing w:before="0" w:after="0"/>
              <w:jc w:val="left"/>
            </w:pPr>
            <w:r>
              <w:rPr>
                <w:color w:val="2C3E50"/>
                <w:sz w:val="21"/>
              </w:rPr>
              <w:t>Phase 1: Foundation</w:t>
            </w:r>
          </w:p>
        </w:tc>
        <w:tc>
          <w:tcPr>
            <w:tcW w:w="1800" w:type="dxa"/>
            <w:vAlign w:val="center"/>
          </w:tcPr>
          <w:p>
            <w:pPr>
              <w:spacing w:before="0" w:after="0"/>
              <w:jc w:val="left"/>
            </w:pPr>
            <w:r>
              <w:rPr>
                <w:color w:val="2C3E50"/>
                <w:sz w:val="21"/>
              </w:rPr>
              <w:t>Months 1-3</w:t>
            </w:r>
          </w:p>
        </w:tc>
        <w:tc>
          <w:tcPr>
            <w:tcW w:w="3500" w:type="dxa"/>
            <w:vAlign w:val="center"/>
          </w:tcPr>
          <w:p>
            <w:pPr>
              <w:spacing w:before="0" w:after="0"/>
              <w:jc w:val="left"/>
            </w:pPr>
            <w:r>
              <w:rPr>
                <w:color w:val="2C3E50"/>
                <w:sz w:val="21"/>
              </w:rPr>
              <w:t>Company setup, testnet, website, community</w:t>
            </w:r>
          </w:p>
        </w:tc>
        <w:tc>
          <w:tcPr>
            <w:tcW w:w="2500" w:type="dxa"/>
            <w:vAlign w:val="center"/>
          </w:tcPr>
          <w:p>
            <w:pPr>
              <w:spacing w:before="0" w:after="0"/>
              <w:jc w:val="left"/>
            </w:pPr>
            <w:r>
              <w:rPr>
                <w:color w:val="2C3E50"/>
                <w:sz w:val="21"/>
              </w:rPr>
              <w:t>$150K-$300K</w:t>
            </w:r>
          </w:p>
        </w:tc>
      </w:tr>
      <w:tr>
        <w:trPr>
          <w:trHeight w:val="360" w:hRule="atLeast"/>
        </w:trPr>
        <w:tc>
          <w:tcPr>
            <w:tcW w:w="2200" w:type="dxa"/>
            <w:vAlign w:val="center"/>
          </w:tcPr>
          <w:p>
            <w:pPr>
              <w:spacing w:before="0" w:after="0"/>
              <w:jc w:val="left"/>
            </w:pPr>
            <w:r>
              <w:rPr>
                <w:color w:val="2C3E50"/>
                <w:sz w:val="21"/>
              </w:rPr>
              <w:t>Phase 2: Funding</w:t>
            </w:r>
          </w:p>
        </w:tc>
        <w:tc>
          <w:tcPr>
            <w:tcW w:w="1800" w:type="dxa"/>
            <w:vAlign w:val="center"/>
          </w:tcPr>
          <w:p>
            <w:pPr>
              <w:spacing w:before="0" w:after="0"/>
              <w:jc w:val="left"/>
            </w:pPr>
            <w:r>
              <w:rPr>
                <w:color w:val="2C3E50"/>
                <w:sz w:val="21"/>
              </w:rPr>
              <w:t>Months 4-6</w:t>
            </w:r>
          </w:p>
        </w:tc>
        <w:tc>
          <w:tcPr>
            <w:tcW w:w="3500" w:type="dxa"/>
            <w:vAlign w:val="center"/>
          </w:tcPr>
          <w:p>
            <w:pPr>
              <w:spacing w:before="0" w:after="0"/>
              <w:jc w:val="left"/>
            </w:pPr>
            <w:r>
              <w:rPr>
                <w:color w:val="2C3E50"/>
                <w:sz w:val="21"/>
              </w:rPr>
              <w:t>Presale, marketing, prototype demo</w:t>
            </w:r>
          </w:p>
        </w:tc>
        <w:tc>
          <w:tcPr>
            <w:tcW w:w="2500" w:type="dxa"/>
            <w:vAlign w:val="center"/>
          </w:tcPr>
          <w:p>
            <w:pPr>
              <w:spacing w:before="0" w:after="0"/>
              <w:jc w:val="left"/>
            </w:pPr>
            <w:r>
              <w:rPr>
                <w:color w:val="2C3E50"/>
                <w:sz w:val="21"/>
              </w:rPr>
              <w:t>$250K-$500K</w:t>
            </w:r>
          </w:p>
        </w:tc>
      </w:tr>
      <w:tr>
        <w:trPr>
          <w:trHeight w:val="360" w:hRule="atLeast"/>
        </w:trPr>
        <w:tc>
          <w:tcPr>
            <w:tcW w:w="2200" w:type="dxa"/>
            <w:vAlign w:val="center"/>
          </w:tcPr>
          <w:p>
            <w:pPr>
              <w:spacing w:before="0" w:after="0"/>
              <w:jc w:val="left"/>
            </w:pPr>
            <w:r>
              <w:rPr>
                <w:color w:val="2C3E50"/>
                <w:sz w:val="21"/>
              </w:rPr>
              <w:t>Phase 3: Alpha</w:t>
            </w:r>
          </w:p>
        </w:tc>
        <w:tc>
          <w:tcPr>
            <w:tcW w:w="1800" w:type="dxa"/>
            <w:vAlign w:val="center"/>
          </w:tcPr>
          <w:p>
            <w:pPr>
              <w:spacing w:before="0" w:after="0"/>
              <w:jc w:val="left"/>
            </w:pPr>
            <w:r>
              <w:rPr>
                <w:color w:val="2C3E50"/>
                <w:sz w:val="21"/>
              </w:rPr>
              <w:t>Months 7-9</w:t>
            </w:r>
          </w:p>
        </w:tc>
        <w:tc>
          <w:tcPr>
            <w:tcW w:w="3500" w:type="dxa"/>
            <w:vAlign w:val="center"/>
          </w:tcPr>
          <w:p>
            <w:pPr>
              <w:spacing w:before="0" w:after="0"/>
              <w:jc w:val="left"/>
            </w:pPr>
            <w:r>
              <w:rPr>
                <w:color w:val="2C3E50"/>
                <w:sz w:val="21"/>
              </w:rPr>
              <w:t>Dev team expansion, RP mechanics, wallet integration</w:t>
            </w:r>
          </w:p>
        </w:tc>
        <w:tc>
          <w:tcPr>
            <w:tcW w:w="2500" w:type="dxa"/>
            <w:vAlign w:val="center"/>
          </w:tcPr>
          <w:p>
            <w:pPr>
              <w:spacing w:before="0" w:after="0"/>
              <w:jc w:val="left"/>
            </w:pPr>
            <w:r>
              <w:rPr>
                <w:color w:val="2C3E50"/>
                <w:sz w:val="21"/>
              </w:rPr>
              <w:t>$3M-$7M</w:t>
            </w:r>
          </w:p>
        </w:tc>
      </w:tr>
      <w:tr>
        <w:trPr>
          <w:trHeight w:val="360" w:hRule="atLeast"/>
        </w:trPr>
        <w:tc>
          <w:tcPr>
            <w:tcW w:w="2200" w:type="dxa"/>
            <w:vAlign w:val="center"/>
          </w:tcPr>
          <w:p>
            <w:pPr>
              <w:spacing w:before="0" w:after="0"/>
              <w:jc w:val="left"/>
            </w:pPr>
            <w:r>
              <w:rPr>
                <w:color w:val="2C3E50"/>
                <w:sz w:val="21"/>
              </w:rPr>
              <w:t>Phase 4: Beta</w:t>
            </w:r>
          </w:p>
        </w:tc>
        <w:tc>
          <w:tcPr>
            <w:tcW w:w="1800" w:type="dxa"/>
            <w:vAlign w:val="center"/>
          </w:tcPr>
          <w:p>
            <w:pPr>
              <w:spacing w:before="0" w:after="0"/>
              <w:jc w:val="left"/>
            </w:pPr>
            <w:r>
              <w:rPr>
                <w:color w:val="2C3E50"/>
                <w:sz w:val="21"/>
              </w:rPr>
              <w:t>Months 10-12</w:t>
            </w:r>
          </w:p>
        </w:tc>
        <w:tc>
          <w:tcPr>
            <w:tcW w:w="3500" w:type="dxa"/>
            <w:vAlign w:val="center"/>
          </w:tcPr>
          <w:p>
            <w:pPr>
              <w:spacing w:before="0" w:after="0"/>
              <w:jc w:val="left"/>
            </w:pPr>
            <w:r>
              <w:rPr>
                <w:color w:val="2C3E50"/>
                <w:sz w:val="21"/>
              </w:rPr>
              <w:t>New maps, dual currency, multiplayer, DEX listing</w:t>
            </w:r>
          </w:p>
        </w:tc>
        <w:tc>
          <w:tcPr>
            <w:tcW w:w="2500" w:type="dxa"/>
            <w:vAlign w:val="center"/>
          </w:tcPr>
          <w:p>
            <w:pPr>
              <w:spacing w:before="0" w:after="0"/>
              <w:jc w:val="left"/>
            </w:pPr>
            <w:r>
              <w:rPr>
                <w:color w:val="2C3E50"/>
                <w:sz w:val="21"/>
              </w:rPr>
              <w:t>$5M-$12M</w:t>
            </w:r>
          </w:p>
        </w:tc>
      </w:tr>
      <w:tr>
        <w:trPr>
          <w:trHeight w:val="360" w:hRule="atLeast"/>
        </w:trPr>
        <w:tc>
          <w:tcPr>
            <w:tcW w:w="2200" w:type="dxa"/>
            <w:vAlign w:val="center"/>
          </w:tcPr>
          <w:p>
            <w:pPr>
              <w:spacing w:before="0" w:after="0"/>
              <w:jc w:val="left"/>
            </w:pPr>
            <w:r>
              <w:rPr>
                <w:color w:val="2C3E50"/>
                <w:sz w:val="21"/>
              </w:rPr>
              <w:t>Phase 5: Launch</w:t>
            </w:r>
          </w:p>
        </w:tc>
        <w:tc>
          <w:tcPr>
            <w:tcW w:w="1800" w:type="dxa"/>
            <w:vAlign w:val="center"/>
          </w:tcPr>
          <w:p>
            <w:pPr>
              <w:spacing w:before="0" w:after="0"/>
              <w:jc w:val="left"/>
            </w:pPr>
            <w:r>
              <w:rPr>
                <w:color w:val="2C3E50"/>
                <w:sz w:val="21"/>
              </w:rPr>
              <w:t>Months 13-18</w:t>
            </w:r>
          </w:p>
        </w:tc>
        <w:tc>
          <w:tcPr>
            <w:tcW w:w="3500" w:type="dxa"/>
            <w:vAlign w:val="center"/>
          </w:tcPr>
          <w:p>
            <w:pPr>
              <w:spacing w:before="0" w:after="0"/>
              <w:jc w:val="left"/>
            </w:pPr>
            <w:r>
              <w:rPr>
                <w:color w:val="2C3E50"/>
                <w:sz w:val="21"/>
              </w:rPr>
              <w:t>Full game, mainnet, staking, CEX listing</w:t>
            </w:r>
          </w:p>
        </w:tc>
        <w:tc>
          <w:tcPr>
            <w:tcW w:w="2500" w:type="dxa"/>
            <w:vAlign w:val="center"/>
          </w:tcPr>
          <w:p>
            <w:pPr>
              <w:spacing w:before="0" w:after="0"/>
              <w:jc w:val="left"/>
            </w:pPr>
            <w:r>
              <w:rPr>
                <w:color w:val="2C3E50"/>
                <w:sz w:val="21"/>
              </w:rPr>
              <w:t>$10M-$25M</w:t>
            </w:r>
          </w:p>
        </w:tc>
      </w:tr>
    </w:tbl>
    <w:p>
      <w:pPr>
        <w:pStyle w:val="Caption"/>
      </w:pPr>
      <w:r>
        <w:t>Table 5: 18-Month Development Roadmap</w:t>
      </w:r>
    </w:p>
    <w:p>
      <w:pPr>
        <w:pStyle w:val="Heading1"/>
      </w:pPr>
      <w:bookmarkStart w:name="_Toc009" w:id="009"/>
      <w:r>
        <w:t>Team &amp; Advisors</w:t>
      </w:r>
      <w:bookmarkEnd w:id="009"/>
    </w:p>
    <w:p>
      <w:r>
        <w:t>LifeVerse Technologies is assembling a world-class team of gaming veterans, blockchain developers, and business leaders to execute this ambitious vision.</w:t>
      </w:r>
    </w:p>
    <w:p>
      <w:pPr>
        <w:pStyle w:val="Heading2"/>
      </w:pPr>
      <w:r>
        <w:t>Leadership</w:t>
      </w:r>
    </w:p>
    <w:p>
      <w:pPr>
        <w:numPr>
          <w:ilvl w:val="0"/>
          <w:numId w:val="2"/>
        </w:numPr>
      </w:pPr>
      <w:r>
        <w:t>Fortune Godson - Founder &amp; CEO: Strategic vision and overall leadership</w:t>
      </w:r>
    </w:p>
    <w:p>
      <w:pPr>
        <w:pStyle w:val="Heading2"/>
      </w:pPr>
      <w:r>
        <w:t>Core Team Structure</w:t>
      </w:r>
    </w:p>
    <w:p>
      <w:pPr>
        <w:numPr>
          <w:ilvl w:val="0"/>
          <w:numId w:val="2"/>
        </w:numPr>
      </w:pPr>
      <w:r>
        <w:t>Chief Technology Officer: Technical architecture and development oversight</w:t>
      </w:r>
    </w:p>
    <w:p>
      <w:pPr>
        <w:numPr>
          <w:ilvl w:val="0"/>
          <w:numId w:val="2"/>
        </w:numPr>
      </w:pPr>
      <w:r>
        <w:t>Creative Director: Game design and player experience</w:t>
      </w:r>
    </w:p>
    <w:p>
      <w:pPr>
        <w:numPr>
          <w:ilvl w:val="0"/>
          <w:numId w:val="2"/>
        </w:numPr>
      </w:pPr>
      <w:r>
        <w:t>Blockchain Lead: Smart contract development and DeFi integration</w:t>
      </w:r>
    </w:p>
    <w:p>
      <w:pPr>
        <w:numPr>
          <w:ilvl w:val="0"/>
          <w:numId w:val="2"/>
        </w:numPr>
      </w:pPr>
      <w:r>
        <w:t>Art Director: Visual identity and asset pipeline</w:t>
      </w:r>
    </w:p>
    <w:p>
      <w:pPr>
        <w:numPr>
          <w:ilvl w:val="0"/>
          <w:numId w:val="2"/>
        </w:numPr>
      </w:pPr>
      <w:r>
        <w:t>Community Manager: Player engagement and growth</w:t>
      </w:r>
    </w:p>
    <w:p>
      <w:pPr>
        <w:pStyle w:val="Heading2"/>
      </w:pPr>
      <w:r>
        <w:t>Advisory Board</w:t>
      </w:r>
    </w:p>
    <w:p>
      <w:r>
        <w:t>Our advisory board includes industry veterans from AAA game studios, successful crypto projects, and established venture capital firms. Their guidance ensures LifeVerse RP meets the highest standards in both gaming and blockchain sectors.</w:t>
      </w:r>
    </w:p>
    <w:p>
      <w:pPr>
        <w:pStyle w:val="Heading1"/>
      </w:pPr>
      <w:bookmarkStart w:name="_Toc010" w:id="010"/>
      <w:r>
        <w:t>Legal &amp; Compliance</w:t>
      </w:r>
      <w:bookmarkEnd w:id="010"/>
    </w:p>
    <w:p>
      <w:pPr>
        <w:pStyle w:val="Heading2"/>
      </w:pPr>
      <w:r>
        <w:t>Regulatory Framework</w:t>
      </w:r>
    </w:p>
    <w:p>
      <w:r>
        <w:t>LifeVerse Technologies Ltd is committed to full regulatory compliance across all jurisdictions where we operate. Our legal team ensures adherence to securities laws, gaming regulations, and data protection requirements.</w:t>
      </w:r>
    </w:p>
    <w:p>
      <w:pPr>
        <w:pStyle w:val="Heading3"/>
      </w:pPr>
      <w:r>
        <w:t>Key Compliance Measures</w:t>
      </w:r>
    </w:p>
    <w:p>
      <w:pPr>
        <w:numPr>
          <w:ilvl w:val="0"/>
          <w:numId w:val="2"/>
        </w:numPr>
      </w:pPr>
      <w:r>
        <w:t>Company registration in Nigeria (FVA70K SERVICES - CAC Licensed)</w:t>
      </w:r>
    </w:p>
    <w:p>
      <w:pPr>
        <w:numPr>
          <w:ilvl w:val="0"/>
          <w:numId w:val="2"/>
        </w:numPr>
      </w:pPr>
      <w:r>
        <w:t>KYC/AML procedures for token sales and large transactions</w:t>
      </w:r>
    </w:p>
    <w:p>
      <w:pPr>
        <w:numPr>
          <w:ilvl w:val="0"/>
          <w:numId w:val="2"/>
        </w:numPr>
      </w:pPr>
      <w:r>
        <w:t>Regular blockchain security audits</w:t>
      </w:r>
    </w:p>
    <w:p>
      <w:pPr>
        <w:numPr>
          <w:ilvl w:val="0"/>
          <w:numId w:val="2"/>
        </w:numPr>
      </w:pPr>
      <w:r>
        <w:t>Transparent tokenomics with no hidden allocations</w:t>
      </w:r>
    </w:p>
    <w:p>
      <w:pPr>
        <w:numPr>
          <w:ilvl w:val="0"/>
          <w:numId w:val="2"/>
        </w:numPr>
      </w:pPr>
      <w:r>
        <w:t>Clear terms of service and user agreements</w:t>
      </w:r>
    </w:p>
    <w:p>
      <w:pPr>
        <w:pStyle w:val="Heading2"/>
      </w:pPr>
      <w:r>
        <w:t>Intellectual Property</w:t>
      </w:r>
    </w:p>
    <w:p>
      <w:r>
        <w:t>All original game assets, code, and branding are protected under international copyright and trademark law. Player-created content remains the property of creators while granting LifeVerse a license for in-game use.</w:t>
      </w:r>
    </w:p>
    <w:p>
      <w:pPr>
        <w:pStyle w:val="Heading1"/>
      </w:pPr>
      <w:bookmarkStart w:name="_Toc011" w:id="011"/>
      <w:r>
        <w:t>Risk Factors</w:t>
      </w:r>
      <w:bookmarkEnd w:id="011"/>
    </w:p>
    <w:p>
      <w:r>
        <w:t>Potential investors and participants should be aware of the following risks associated with LifeVerse RP and LifeCoin:</w:t>
      </w:r>
    </w:p>
    <w:p>
      <w:pPr>
        <w:pStyle w:val="Heading2"/>
      </w:pPr>
      <w:r>
        <w:t>Market Risks</w:t>
      </w:r>
    </w:p>
    <w:p>
      <w:pPr>
        <w:numPr>
          <w:ilvl w:val="0"/>
          <w:numId w:val="2"/>
        </w:numPr>
      </w:pPr>
      <w:r>
        <w:t>Cryptocurrency market volatility may affect token value</w:t>
      </w:r>
    </w:p>
    <w:p>
      <w:pPr>
        <w:numPr>
          <w:ilvl w:val="0"/>
          <w:numId w:val="2"/>
        </w:numPr>
      </w:pPr>
      <w:r>
        <w:t>Competition from established gaming and crypto projects</w:t>
      </w:r>
    </w:p>
    <w:p>
      <w:pPr>
        <w:numPr>
          <w:ilvl w:val="0"/>
          <w:numId w:val="2"/>
        </w:numPr>
      </w:pPr>
      <w:r>
        <w:t>Regulatory changes may impact token utility or availability</w:t>
      </w:r>
    </w:p>
    <w:p>
      <w:pPr>
        <w:pStyle w:val="Heading2"/>
      </w:pPr>
      <w:r>
        <w:t>Technical Risks</w:t>
      </w:r>
    </w:p>
    <w:p>
      <w:pPr>
        <w:numPr>
          <w:ilvl w:val="0"/>
          <w:numId w:val="2"/>
        </w:numPr>
      </w:pPr>
      <w:r>
        <w:t>Blockchain network challenges despite security measures</w:t>
      </w:r>
    </w:p>
    <w:p>
      <w:pPr>
        <w:numPr>
          <w:ilvl w:val="0"/>
          <w:numId w:val="2"/>
        </w:numPr>
      </w:pPr>
      <w:r>
        <w:t>Server infrastructure challenges at scale</w:t>
      </w:r>
    </w:p>
    <w:p>
      <w:pPr>
        <w:numPr>
          <w:ilvl w:val="0"/>
          <w:numId w:val="2"/>
        </w:numPr>
      </w:pPr>
      <w:r>
        <w:t>Network congestion affecting transactions</w:t>
      </w:r>
    </w:p>
    <w:p>
      <w:pPr>
        <w:pStyle w:val="Heading2"/>
      </w:pPr>
      <w:r>
        <w:t>Development Risks</w:t>
      </w:r>
    </w:p>
    <w:p>
      <w:pPr>
        <w:numPr>
          <w:ilvl w:val="0"/>
          <w:numId w:val="2"/>
        </w:numPr>
      </w:pPr>
      <w:r>
        <w:t>Delays in development timeline</w:t>
      </w:r>
    </w:p>
    <w:p>
      <w:pPr>
        <w:numPr>
          <w:ilvl w:val="0"/>
          <w:numId w:val="2"/>
        </w:numPr>
      </w:pPr>
      <w:r>
        <w:t>Feature scope may change based on community feedback</w:t>
      </w:r>
    </w:p>
    <w:p>
      <w:pPr>
        <w:numPr>
          <w:ilvl w:val="0"/>
          <w:numId w:val="2"/>
        </w:numPr>
      </w:pPr>
      <w:r>
        <w:t>Team expansion challenges in competitive market</w:t>
      </w:r>
    </w:p>
    <w:p>
      <w:pPr>
        <w:spacing w:before="400"/>
      </w:pPr>
      <w:r>
        <w:rPr>
          <w:i/>
          <w:color w:val="7F8C8D"/>
        </w:rPr>
        <w:t>This white paper is for informational purposes only and does not constitute financial advice. Participants should conduct their own research and consult with financial advisors before making investment decisions.</w:t>
      </w:r>
    </w:p>
    <w:p>
      <w:pPr>
        <w:sectPr>
          <w:headerReference w:type="default" r:id="R419c4661e7454fa1"/>
          <w:footerReference w:type="default" r:id="Rc0dc0c85a95340a1"/>
          <w:type w:val="nextPage"/>
          <w:pgSz w:w="11906" w:h="16838"/>
          <w:pgMar w:top="1800" w:right="1440" w:bottom="1440" w:left="1440" w:header="720" w:footer="720"/>
        </w:sectPr>
      </w:pPr>
    </w:p>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3" name="BackcoverBackground"/>
            <wp:cNvGraphicFramePr>
              <a:graphicFrameLocks noChangeAspect="1"/>
            </wp:cNvGraphicFramePr>
            <a:graphic>
              <a:graphicData uri="http://schemas.openxmlformats.org/drawingml/2006/picture">
                <pic:pic>
                  <pic:nvPicPr>
                    <pic:cNvPr id="0" name="BackcoverBackground.png"/>
                    <pic:cNvPicPr/>
                  </pic:nvPicPr>
                  <pic:blipFill>
                    <a:blip r:embed="R5b085957ae954be2"/>
                    <a:stretch>
                      <a:fillRect/>
                    </a:stretch>
                  </pic:blipFill>
                  <pic:spPr>
                    <a:xfrm>
                      <a:off x="0" y="0"/>
                      <a:ext cx="7560000" cy="10692000"/>
                    </a:xfrm>
                    <a:prstGeom prst="rect"/>
                  </pic:spPr>
                </pic:pic>
              </a:graphicData>
            </a:graphic>
          </wp:anchor>
        </w:drawing>
      </w:r>
    </w:p>
    <w:p>
      <w:pPr>
        <w:spacing w:before="8000"/>
      </w:pPr>
      <w:r/>
    </w:p>
    <w:p>
      <w:pPr>
        <w:spacing w:after="200"/>
        <w:jc w:val="center"/>
      </w:pPr>
      <w:r>
        <w:rPr>
          <w:b/>
          <w:color w:val="FFFFFF"/>
          <w:sz w:val="48"/>
        </w:rPr>
        <w:t>LifeVerse RP</w:t>
      </w:r>
    </w:p>
    <w:p>
      <w:pPr>
        <w:spacing w:after="600"/>
        <w:jc w:val="center"/>
      </w:pPr>
      <w:r>
        <w:rPr>
          <w:color w:val="D4AF37"/>
          <w:sz w:val="28"/>
        </w:rPr>
        <w:t>Play. Earn. Live.</w:t>
      </w:r>
    </w:p>
    <w:p>
      <w:pPr>
        <w:spacing w:after="120"/>
        <w:jc w:val="center"/>
      </w:pPr>
      <w:r>
        <w:rPr>
          <w:color w:val="AAAAAA"/>
          <w:sz w:val="20"/>
        </w:rPr>
        <w:t>info@lifeverse.com</w:t>
      </w:r>
    </w:p>
    <w:p>
      <w:pPr>
        <w:spacing w:after="400"/>
        <w:jc w:val="center"/>
      </w:pPr>
      <w:r>
        <w:rPr>
          <w:color w:val="888888"/>
          <w:sz w:val="18"/>
        </w:rPr>
        <w:t>Twitter: @LifeVerseRP  |  Discord: discord.gg/lifeverse</w:t>
      </w:r>
    </w:p>
    <w:p>
      <w:pPr>
        <w:jc w:val="center"/>
      </w:pPr>
      <w:r>
        <w:rPr>
          <w:color w:val="666666"/>
          <w:sz w:val="16"/>
        </w:rPr>
        <w:t>© 2026 LifeVerse Technologies Ltd. All rights reserved.</w:t>
      </w:r>
    </w:p>
    <w:sectPr>
      <w:pgSz w:w="11906" w:h="16838"/>
      <w:pgMar w:top="0" w:right="0" w:bottom="0" w:left="0" w:header="0" w:footer="0"/>
    </w:sectPr>
  </w:body>
</w:document>
</file>

<file path=word/footer1.xml><?xml version="1.0" encoding="utf-8"?>
<w:ftr xmlns:w="http://schemas.openxmlformats.org/wordprocessingml/2006/main">
  <w:p>
    <w:pPr>
      <w:jc w:val="center"/>
    </w:pPr>
    <w:r>
      <w:fldChar w:fldCharType="begin"/>
      <w:instrText xml:space="preserve"> PAGE </w:instrText>
      <w:fldChar w:fldCharType="separate"/>
      <w:t>1</w:t>
      <w:fldChar w:fldCharType="end"/>
    </w:r>
    <w:r>
      <w:t xml:space="preserve"> / </w:t>
    </w:r>
    <w:r>
      <w:fldChar w:fldCharType="begin"/>
      <w:instrText xml:space="preserve"> NUMPAGES </w:instrText>
      <w:fldChar w:fldCharType="separate"/>
      <w:t>1</w:t>
      <w:fldChar w:fldCharType="end"/>
    </w:r>
  </w:p>
</w:ftr>
</file>

<file path=word/header1.xml><?xml version="1.0" encoding="utf-8"?>
<w:hdr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p>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0000" cy="10692000"/>
          <wp:effectExtent l="0" t="0" r="0" b="0"/>
          <wp:wrapNone/>
          <wp:docPr id="2" name="BodyBackground"/>
          <wp:cNvGraphicFramePr>
            <a:graphicFrameLocks noChangeAspect="1"/>
          </wp:cNvGraphicFramePr>
          <a:graphic>
            <a:graphicData uri="http://schemas.openxmlformats.org/drawingml/2006/picture">
              <pic:pic>
                <pic:nvPicPr>
                  <pic:cNvPr id="0" name="BodyBackground.png"/>
                  <pic:cNvPicPr/>
                </pic:nvPicPr>
                <pic:blipFill>
                  <a:blip r:embed="R0615a93804cd43a7"/>
                  <a:stretch>
                    <a:fillRect/>
                  </a:stretch>
                </pic:blipFill>
                <pic:spPr>
                  <a:xfrm>
                    <a:off x="0" y="0"/>
                    <a:ext cx="7560000" cy="10692000"/>
                  </a:xfrm>
                  <a:prstGeom prst="rect"/>
                </pic:spPr>
              </pic:pic>
            </a:graphicData>
          </a:graphic>
        </wp:anchor>
      </w:drawing>
    </w:r>
  </w:p>
  <w:p>
    <w:pPr>
      <w:spacing w:before="0" w:after="0"/>
      <w:jc w:val="right"/>
    </w:pPr>
    <w:r>
      <w:rPr>
        <w:color w:val="7F8C8D"/>
        <w:sz w:val="18"/>
      </w:rPr>
      <w:t>LifeVerse RP Whitepaper</w:t>
    </w:r>
    <w:r>
      <w:rPr>
        <w:color w:val="4A90A4"/>
        <w:sz w:val="18"/>
      </w:rPr>
      <w:t xml:space="preserve">  |  </w:t>
    </w:r>
    <w:r>
      <w:rPr>
        <w:color w:val="7F8C8D"/>
        <w:sz w:val="18"/>
      </w:rPr>
      <w:t>Version 3.0</w:t>
    </w:r>
  </w:p>
</w:hdr>
</file>

<file path=word/numbering.xml><?xml version="1.0" encoding="utf-8"?>
<w:numbering xmlns:w="http://schemas.openxmlformats.org/wordprocessingml/2006/main">
  <w:abstractNum w:abstractNumId="1">
    <w:lvl w:ilvl="0">
      <w:numFmt w:val="decimal"/>
      <w:lvlText w:val="%1."/>
      <w:lvlJc w:val="left"/>
      <w:pPr>
        <w:ind w:left="720" w:hanging="360"/>
      </w:pPr>
    </w:lvl>
  </w:abstractNum>
  <w:abstractNum w:abstractNumId="2">
    <w:lvl w:ilvl="0">
      <w:numFmt w:val="bullet"/>
      <w:lvlText w:val="•"/>
      <w:lvlJc w:val="left"/>
      <w:pPr>
        <w:ind w:left="720" w:hanging="360"/>
      </w:pPr>
    </w:lvl>
  </w:abstractNum>
  <w:num w:numId="1">
    <w:abstractNumId w:val="1"/>
  </w:num>
  <w:num w:numId="2">
    <w:abstractNumId w:val="2"/>
  </w:num>
</w:numbering>
</file>

<file path=word/settings.xml><?xml version="1.0" encoding="utf-8"?>
<w:settings xmlns:w="http://schemas.openxmlformats.org/wordprocessingml/2006/main">
  <w:displayBackgroundShape/>
  <w:updateFields w:val="true"/>
</w:settings>
</file>

<file path=word/styles.xml><?xml version="1.0" encoding="utf-8"?>
<w:styles xmlns:w="http://schemas.openxmlformats.org/wordprocessingml/2006/main">
  <w:style w:type="paragraph" w:styleId="Normal" w:default="true">
    <w:name w:val="Normal"/>
    <w:pPr>
      <w:spacing w:after="200" w:line="312" w:lineRule="auto"/>
    </w:pPr>
    <w:rPr>
      <w:rFonts w:ascii="Calibri" w:hAnsi="Calibri" w:eastAsia="Microsoft YaHei"/>
      <w:color w:val="2C3E50"/>
      <w:sz w:val="22"/>
    </w:rPr>
  </w:style>
  <w:style w:type="paragraph" w:styleId="Heading1">
    <w:name w:val="heading 1"/>
    <w:basedOn w:val="Normal"/>
    <w:pPr>
      <w:keepNext/>
      <w:keepLines/>
      <w:pageBreakBefore/>
      <w:spacing w:before="400" w:after="240" w:line="240" w:lineRule="auto"/>
      <w:outlineLvl w:val="0"/>
    </w:pPr>
    <w:rPr>
      <w:b/>
      <w:color w:val="4A90A4"/>
      <w:sz w:val="40"/>
    </w:rPr>
  </w:style>
  <w:style w:type="paragraph" w:styleId="Heading2">
    <w:name w:val="heading 2"/>
    <w:basedOn w:val="Normal"/>
    <w:pPr>
      <w:keepNext/>
      <w:keepLines/>
      <w:spacing w:before="360" w:after="160"/>
      <w:outlineLvl w:val="1"/>
    </w:pPr>
    <w:rPr>
      <w:b/>
      <w:color w:val="6B5B95"/>
      <w:sz w:val="28"/>
    </w:rPr>
  </w:style>
  <w:style w:type="paragraph" w:styleId="Heading3">
    <w:name w:val="heading 3"/>
    <w:basedOn w:val="Normal"/>
    <w:pPr>
      <w:keepNext/>
      <w:keepLines/>
      <w:spacing w:before="280" w:after="120"/>
      <w:outlineLvl w:val="2"/>
    </w:pPr>
    <w:rPr>
      <w:b/>
      <w:color w:val="2C3E50"/>
      <w:sz w:val="24"/>
    </w:rPr>
  </w:style>
  <w:style w:type="paragraph" w:styleId="Caption">
    <w:name w:val="Caption"/>
    <w:basedOn w:val="Normal"/>
    <w:pPr>
      <w:keepLines/>
      <w:spacing w:before="60" w:after="400"/>
      <w:jc w:val="center"/>
    </w:pPr>
    <w:rPr>
      <w:i/>
      <w:color w:val="7F8C8D"/>
      <w:sz w:val="20"/>
    </w:rPr>
  </w:style>
  <w:style w:type="paragraph" w:styleId="TOC1">
    <w:name w:val="toc 1"/>
    <w:basedOn w:val="Normal"/>
    <w:pPr>
      <w:tabs>
        <w:tab w:val="right" w:leader="dot" w:pos="9350"/>
      </w:tabs>
      <w:spacing w:before="200" w:after="60"/>
    </w:pPr>
    <w:rPr>
      <w:b/>
      <w:color w:val="2C3E50"/>
    </w:rPr>
  </w:style>
  <w:style w:type="paragraph" w:styleId="TOC2">
    <w:name w:val="toc 2"/>
    <w:basedOn w:val="Normal"/>
    <w:pPr>
      <w:tabs>
        <w:tab w:val="right" w:leader="dot" w:pos="9350"/>
      </w:tabs>
      <w:spacing w:before="60" w:after="60"/>
      <w:ind w:left="360"/>
    </w:pPr>
    <w:rPr>
      <w:color w:val="7F8C8D"/>
    </w:rPr>
  </w:style>
</w:styles>
</file>

<file path=word/_rels/document.xml.rels>&#65279;<?xml version="1.0" encoding="utf-8"?><Relationships xmlns="http://schemas.openxmlformats.org/package/2006/relationships"><Relationship Type="http://schemas.openxmlformats.org/officeDocument/2006/relationships/styles" Target="/word/styles.xml" Id="R9a2cd1c2810c4645" /><Relationship Type="http://schemas.openxmlformats.org/officeDocument/2006/relationships/numbering" Target="/word/numbering.xml" Id="R8cff68d3575743e7" /><Relationship Type="http://schemas.openxmlformats.org/officeDocument/2006/relationships/image" Target="/media/image.png" Id="Rdc5b018ea029425a" /><Relationship Type="http://schemas.openxmlformats.org/officeDocument/2006/relationships/image" Target="/media/image2.png" Id="R6b1e9da6d8594921" /><Relationship Type="http://schemas.openxmlformats.org/officeDocument/2006/relationships/image" Target="/media/image3.png" Id="R5b085957ae954be2" /><Relationship Type="http://schemas.openxmlformats.org/officeDocument/2006/relationships/header" Target="/word/header1.xml" Id="R419c4661e7454fa1" /><Relationship Type="http://schemas.openxmlformats.org/officeDocument/2006/relationships/footer" Target="/word/footer1.xml" Id="Rc0dc0c85a95340a1" /><Relationship Type="http://schemas.openxmlformats.org/officeDocument/2006/relationships/settings" Target="/word/settings.xml" Id="R5be33d5cae2c4739" /></Relationships>
</file>

<file path=word/_rels/header1.xml.rels>&#65279;<?xml version="1.0" encoding="utf-8"?><Relationships xmlns="http://schemas.openxmlformats.org/package/2006/relationships"><Relationship Type="http://schemas.openxmlformats.org/officeDocument/2006/relationships/image" Target="/media/image4.png" Id="R0615a93804cd43a7" /></Relationships>
</file>